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6589" w14:textId="01E896AB" w:rsidR="00D31E69" w:rsidRDefault="00D31E69" w:rsidP="00D31E69">
      <w:pPr>
        <w:rPr>
          <w:rFonts w:cstheme="minorHAnsi"/>
          <w:b/>
          <w:color w:val="000000" w:themeColor="text1"/>
          <w:sz w:val="28"/>
          <w:szCs w:val="28"/>
        </w:rPr>
      </w:pPr>
      <w:bookmarkStart w:id="0" w:name="_Hlk93413429"/>
    </w:p>
    <w:p w14:paraId="4DEAA692" w14:textId="06D9C3FB" w:rsidR="00CF27CF" w:rsidRDefault="00CF27CF" w:rsidP="00CF27CF">
      <w:pPr>
        <w:jc w:val="center"/>
        <w:rPr>
          <w:b/>
          <w:bCs/>
          <w:sz w:val="28"/>
          <w:szCs w:val="28"/>
        </w:rPr>
      </w:pPr>
      <w:r w:rsidRPr="00F63643">
        <w:rPr>
          <w:b/>
          <w:bCs/>
          <w:sz w:val="28"/>
          <w:szCs w:val="28"/>
        </w:rPr>
        <w:t xml:space="preserve">Grupo Energía Bogotá cerró en Brasil la compra de </w:t>
      </w:r>
      <w:proofErr w:type="spellStart"/>
      <w:r w:rsidRPr="00F63643">
        <w:rPr>
          <w:b/>
          <w:bCs/>
          <w:sz w:val="28"/>
          <w:szCs w:val="28"/>
        </w:rPr>
        <w:t>Rialma</w:t>
      </w:r>
      <w:proofErr w:type="spellEnd"/>
      <w:r w:rsidRPr="00F6364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III</w:t>
      </w:r>
    </w:p>
    <w:p w14:paraId="6B401B12" w14:textId="77777777" w:rsidR="00CF27CF" w:rsidRPr="00F63643" w:rsidRDefault="00CF27CF" w:rsidP="00CF27CF">
      <w:pPr>
        <w:jc w:val="center"/>
        <w:rPr>
          <w:b/>
          <w:bCs/>
          <w:sz w:val="28"/>
          <w:szCs w:val="28"/>
        </w:rPr>
      </w:pPr>
    </w:p>
    <w:p w14:paraId="3E051218" w14:textId="77777777" w:rsidR="00CF27CF" w:rsidRPr="00977F3A" w:rsidRDefault="00CF27CF" w:rsidP="00CF27CF">
      <w:pPr>
        <w:pStyle w:val="Prrafodelista"/>
        <w:numPr>
          <w:ilvl w:val="0"/>
          <w:numId w:val="18"/>
        </w:numPr>
        <w:spacing w:after="160" w:line="259" w:lineRule="auto"/>
        <w:rPr>
          <w:i/>
          <w:iCs/>
        </w:rPr>
      </w:pPr>
      <w:r w:rsidRPr="00977F3A">
        <w:rPr>
          <w:i/>
          <w:iCs/>
        </w:rPr>
        <w:t>Con la adquisición de este proyecto de transmisión de energía eléctrica, el GEB sumará la operación de más de 2.800 kilómetros de líneas en Brasil.</w:t>
      </w:r>
    </w:p>
    <w:p w14:paraId="63940180" w14:textId="77777777" w:rsidR="00CF27CF" w:rsidRPr="00977F3A" w:rsidRDefault="00CF27CF" w:rsidP="00CF27CF">
      <w:pPr>
        <w:pStyle w:val="Prrafodelista"/>
        <w:numPr>
          <w:ilvl w:val="0"/>
          <w:numId w:val="18"/>
        </w:numPr>
        <w:spacing w:after="160" w:line="259" w:lineRule="auto"/>
        <w:rPr>
          <w:i/>
          <w:iCs/>
        </w:rPr>
      </w:pPr>
      <w:r w:rsidRPr="00977F3A">
        <w:rPr>
          <w:i/>
          <w:iCs/>
        </w:rPr>
        <w:t xml:space="preserve">La adquisición de la </w:t>
      </w:r>
      <w:proofErr w:type="gramStart"/>
      <w:r w:rsidRPr="00977F3A">
        <w:rPr>
          <w:i/>
          <w:iCs/>
        </w:rPr>
        <w:t>iniciativa,</w:t>
      </w:r>
      <w:proofErr w:type="gramEnd"/>
      <w:r w:rsidRPr="00977F3A">
        <w:rPr>
          <w:i/>
          <w:iCs/>
        </w:rPr>
        <w:t xml:space="preserve"> destacó Juan Ricardo Ortega, presidente del Grupo, contribuye al alcance de los objetivos del Plan Estratégico Corporativo en un mercado atractivo como lo es Brasil.</w:t>
      </w:r>
    </w:p>
    <w:p w14:paraId="400A8316" w14:textId="30508031" w:rsidR="00CF27CF" w:rsidRDefault="00CF27CF" w:rsidP="00CF27CF">
      <w:pPr>
        <w:jc w:val="both"/>
      </w:pPr>
      <w:r w:rsidRPr="009163AB">
        <w:rPr>
          <w:b/>
          <w:bCs/>
        </w:rPr>
        <w:t>Bogotá, 2 de febrero de 202</w:t>
      </w:r>
      <w:r w:rsidR="00A52448">
        <w:rPr>
          <w:b/>
          <w:bCs/>
        </w:rPr>
        <w:t>2</w:t>
      </w:r>
      <w:r w:rsidRPr="009163AB">
        <w:rPr>
          <w:b/>
          <w:bCs/>
        </w:rPr>
        <w:t>.</w:t>
      </w:r>
      <w:r w:rsidRPr="009163AB">
        <w:t xml:space="preserve"> El Grupo Energía Bogotá (GEB) sigue posicionándose como uno de los líderes del sector energético en Latinoamérica e incrementando su presencia en los países de la región: adquirió la totalidad del capital social de </w:t>
      </w:r>
      <w:proofErr w:type="spellStart"/>
      <w:r w:rsidRPr="009163AB">
        <w:t>Rialma</w:t>
      </w:r>
      <w:proofErr w:type="spellEnd"/>
      <w:r w:rsidRPr="009163AB">
        <w:t xml:space="preserve"> </w:t>
      </w:r>
      <w:proofErr w:type="spellStart"/>
      <w:r w:rsidRPr="009163AB">
        <w:t>Transmissora</w:t>
      </w:r>
      <w:proofErr w:type="spellEnd"/>
      <w:r w:rsidRPr="009163AB">
        <w:t xml:space="preserve"> de </w:t>
      </w:r>
      <w:proofErr w:type="spellStart"/>
      <w:r w:rsidRPr="009163AB">
        <w:t>Energia</w:t>
      </w:r>
      <w:proofErr w:type="spellEnd"/>
      <w:r w:rsidRPr="009163AB">
        <w:t xml:space="preserve"> III S.A. (</w:t>
      </w:r>
      <w:proofErr w:type="spellStart"/>
      <w:r w:rsidRPr="009163AB">
        <w:t>Rialma</w:t>
      </w:r>
      <w:proofErr w:type="spellEnd"/>
      <w:r w:rsidRPr="009163AB">
        <w:t xml:space="preserve"> III).</w:t>
      </w:r>
    </w:p>
    <w:p w14:paraId="0B9F25AE" w14:textId="77777777" w:rsidR="00CF27CF" w:rsidRPr="009163AB" w:rsidRDefault="00CF27CF" w:rsidP="00CF27CF">
      <w:pPr>
        <w:jc w:val="both"/>
      </w:pPr>
    </w:p>
    <w:p w14:paraId="6E53B8EF" w14:textId="737546D2" w:rsidR="00CF27CF" w:rsidRDefault="00CF27CF" w:rsidP="00CF27CF">
      <w:pPr>
        <w:jc w:val="both"/>
      </w:pPr>
      <w:r w:rsidRPr="009163AB">
        <w:t xml:space="preserve">La adquisición se cristalizó luego de que se cumplieron de forma satisfactoria todas las condiciones contempladas en el contrato de compraventa de acciones entre la sociedad brasileña </w:t>
      </w:r>
      <w:proofErr w:type="spellStart"/>
      <w:r w:rsidRPr="009163AB">
        <w:t>Argo</w:t>
      </w:r>
      <w:proofErr w:type="spellEnd"/>
      <w:r w:rsidRPr="009163AB">
        <w:t xml:space="preserve"> </w:t>
      </w:r>
      <w:proofErr w:type="spellStart"/>
      <w:r w:rsidRPr="009163AB">
        <w:t>Energia</w:t>
      </w:r>
      <w:proofErr w:type="spellEnd"/>
      <w:r w:rsidRPr="009163AB">
        <w:t xml:space="preserve"> </w:t>
      </w:r>
      <w:proofErr w:type="spellStart"/>
      <w:r w:rsidRPr="009163AB">
        <w:t>Empreendimentos</w:t>
      </w:r>
      <w:proofErr w:type="spellEnd"/>
      <w:r w:rsidRPr="009163AB">
        <w:t xml:space="preserve"> e </w:t>
      </w:r>
      <w:proofErr w:type="spellStart"/>
      <w:r w:rsidRPr="009163AB">
        <w:t>Participações</w:t>
      </w:r>
      <w:proofErr w:type="spellEnd"/>
      <w:r w:rsidRPr="009163AB">
        <w:t xml:space="preserve"> S.A. (</w:t>
      </w:r>
      <w:proofErr w:type="spellStart"/>
      <w:r w:rsidRPr="009163AB">
        <w:t>Argo</w:t>
      </w:r>
      <w:proofErr w:type="spellEnd"/>
      <w:r w:rsidRPr="009163AB">
        <w:t xml:space="preserve">) –en la que el GEB cuenta con el 50 por ciento de la participación accionaria–, y </w:t>
      </w:r>
      <w:proofErr w:type="spellStart"/>
      <w:r w:rsidRPr="009163AB">
        <w:t>Rialma</w:t>
      </w:r>
      <w:proofErr w:type="spellEnd"/>
      <w:r w:rsidRPr="009163AB">
        <w:t xml:space="preserve"> </w:t>
      </w:r>
      <w:proofErr w:type="spellStart"/>
      <w:r w:rsidRPr="009163AB">
        <w:t>Administração</w:t>
      </w:r>
      <w:proofErr w:type="spellEnd"/>
      <w:r w:rsidRPr="009163AB">
        <w:t xml:space="preserve"> e </w:t>
      </w:r>
      <w:proofErr w:type="spellStart"/>
      <w:r w:rsidRPr="009163AB">
        <w:t>Participações</w:t>
      </w:r>
      <w:proofErr w:type="spellEnd"/>
      <w:r w:rsidRPr="009163AB">
        <w:t xml:space="preserve"> S.A., anunciado en noviembre pasado, y que </w:t>
      </w:r>
      <w:r w:rsidRPr="0089373F">
        <w:t>las autoridades reguladoras en Brasil</w:t>
      </w:r>
      <w:r w:rsidRPr="009163AB">
        <w:t xml:space="preserve"> dieron su aprobación</w:t>
      </w:r>
      <w:r>
        <w:t xml:space="preserve"> a la operación</w:t>
      </w:r>
      <w:r w:rsidRPr="009163AB">
        <w:t>.</w:t>
      </w:r>
    </w:p>
    <w:p w14:paraId="752AD27C" w14:textId="77777777" w:rsidR="00CF27CF" w:rsidRPr="009163AB" w:rsidRDefault="00CF27CF" w:rsidP="00CF27CF">
      <w:pPr>
        <w:jc w:val="both"/>
      </w:pPr>
    </w:p>
    <w:p w14:paraId="1CEA8FC7" w14:textId="77777777" w:rsidR="00CF27CF" w:rsidRPr="009163AB" w:rsidRDefault="00CF27CF" w:rsidP="00CF27CF">
      <w:pPr>
        <w:jc w:val="both"/>
      </w:pPr>
      <w:proofErr w:type="spellStart"/>
      <w:r w:rsidRPr="009163AB">
        <w:t>Rialma</w:t>
      </w:r>
      <w:proofErr w:type="spellEnd"/>
      <w:r w:rsidRPr="009163AB">
        <w:t xml:space="preserve"> III es la empresa ganadora del lote 30 de la subasta 005</w:t>
      </w:r>
      <w:r>
        <w:t xml:space="preserve"> de </w:t>
      </w:r>
      <w:r w:rsidRPr="009163AB">
        <w:t xml:space="preserve">2016 realizada por </w:t>
      </w:r>
      <w:r w:rsidRPr="0089373F">
        <w:t xml:space="preserve">la Agencia Nacional de Energía Eléctrica </w:t>
      </w:r>
      <w:r w:rsidRPr="009163AB">
        <w:t xml:space="preserve">(ANEEL) en abril de 2017. La concesión se encuentra en los estados de Ceará y Piauí, y consiste en la construcción y operación de 312 kilómetros de línea de transmisión de energía eléctrica a 500 kilovoltios (kV). </w:t>
      </w:r>
    </w:p>
    <w:p w14:paraId="6D9A8EF2" w14:textId="77777777" w:rsidR="00CF27CF" w:rsidRPr="009163AB" w:rsidRDefault="00CF27CF" w:rsidP="00CF27CF">
      <w:pPr>
        <w:spacing w:after="180"/>
        <w:jc w:val="both"/>
        <w:textAlignment w:val="baseline"/>
      </w:pPr>
      <w:r w:rsidRPr="009163AB">
        <w:t xml:space="preserve">Desde ahora, la denominación social de </w:t>
      </w:r>
      <w:proofErr w:type="spellStart"/>
      <w:r w:rsidRPr="009163AB">
        <w:t>Rialma</w:t>
      </w:r>
      <w:proofErr w:type="spellEnd"/>
      <w:r w:rsidRPr="009163AB">
        <w:t xml:space="preserve"> III será </w:t>
      </w:r>
      <w:proofErr w:type="spellStart"/>
      <w:r w:rsidRPr="009163AB">
        <w:t>Argo</w:t>
      </w:r>
      <w:proofErr w:type="spellEnd"/>
      <w:r w:rsidRPr="009163AB">
        <w:t xml:space="preserve"> IV </w:t>
      </w:r>
      <w:proofErr w:type="spellStart"/>
      <w:r w:rsidRPr="009163AB">
        <w:t>Transmissão</w:t>
      </w:r>
      <w:proofErr w:type="spellEnd"/>
      <w:r w:rsidRPr="009163AB">
        <w:t xml:space="preserve"> de </w:t>
      </w:r>
      <w:proofErr w:type="spellStart"/>
      <w:r w:rsidRPr="009163AB">
        <w:t>Energia</w:t>
      </w:r>
      <w:proofErr w:type="spellEnd"/>
      <w:r w:rsidRPr="009163AB">
        <w:t xml:space="preserve"> S.A.</w:t>
      </w:r>
    </w:p>
    <w:p w14:paraId="5D6AC8F5" w14:textId="77777777" w:rsidR="00CF27CF" w:rsidRPr="009163AB" w:rsidRDefault="00CF27CF" w:rsidP="00CF27CF">
      <w:pPr>
        <w:jc w:val="both"/>
      </w:pPr>
      <w:r w:rsidRPr="0089373F">
        <w:t>Con esta nueva adquisición</w:t>
      </w:r>
      <w:r w:rsidRPr="009163AB">
        <w:t>,</w:t>
      </w:r>
      <w:r w:rsidRPr="0089373F">
        <w:t xml:space="preserve"> el GEB completa más de 2.800 kilómetros de líneas de transmisión en Brasil, país en el que está presente con </w:t>
      </w:r>
      <w:r w:rsidRPr="009163AB">
        <w:t xml:space="preserve">las compañías </w:t>
      </w:r>
      <w:proofErr w:type="spellStart"/>
      <w:r w:rsidRPr="0089373F">
        <w:t>Argo</w:t>
      </w:r>
      <w:proofErr w:type="spellEnd"/>
      <w:r w:rsidRPr="0089373F">
        <w:t xml:space="preserve"> y </w:t>
      </w:r>
      <w:proofErr w:type="spellStart"/>
      <w:r w:rsidRPr="0089373F">
        <w:t>Gebbras</w:t>
      </w:r>
      <w:proofErr w:type="spellEnd"/>
      <w:r w:rsidRPr="009163AB">
        <w:t>.</w:t>
      </w:r>
    </w:p>
    <w:p w14:paraId="64AC4055" w14:textId="77777777" w:rsidR="00CF27CF" w:rsidRPr="0089373F" w:rsidRDefault="00CF27CF" w:rsidP="00CF27CF">
      <w:pPr>
        <w:spacing w:before="360" w:after="240"/>
        <w:jc w:val="both"/>
        <w:textAlignment w:val="baseline"/>
      </w:pPr>
      <w:proofErr w:type="spellStart"/>
      <w:r w:rsidRPr="0089373F">
        <w:t>Argo</w:t>
      </w:r>
      <w:proofErr w:type="spellEnd"/>
      <w:r w:rsidRPr="009163AB">
        <w:t xml:space="preserve"> –</w:t>
      </w:r>
      <w:r w:rsidRPr="0089373F">
        <w:t>adquirida en partes iguales por GEB y Red Eléctrica Internacional, de España</w:t>
      </w:r>
      <w:r w:rsidRPr="009163AB">
        <w:t>–</w:t>
      </w:r>
      <w:r w:rsidRPr="0089373F">
        <w:t xml:space="preserve"> cuenta con tres concesiones a 30 años en los </w:t>
      </w:r>
      <w:r w:rsidRPr="009163AB">
        <w:t>e</w:t>
      </w:r>
      <w:r w:rsidRPr="0089373F">
        <w:t xml:space="preserve">stados de Ceará, </w:t>
      </w:r>
      <w:proofErr w:type="spellStart"/>
      <w:r w:rsidRPr="0089373F">
        <w:t>Maranhao</w:t>
      </w:r>
      <w:proofErr w:type="spellEnd"/>
      <w:r w:rsidRPr="0089373F">
        <w:t xml:space="preserve">, Minas Gerais, Piauí, y </w:t>
      </w:r>
      <w:proofErr w:type="spellStart"/>
      <w:r w:rsidRPr="0089373F">
        <w:t>Rondonia</w:t>
      </w:r>
      <w:proofErr w:type="spellEnd"/>
      <w:r w:rsidRPr="009163AB">
        <w:t xml:space="preserve">; </w:t>
      </w:r>
      <w:r w:rsidRPr="0089373F">
        <w:t xml:space="preserve">tiene 1.460 kilómetros de líneas de transmisión a 500 y 230 kV y 11 subestaciones. Con </w:t>
      </w:r>
      <w:proofErr w:type="spellStart"/>
      <w:r w:rsidRPr="0089373F">
        <w:t>Gebbras</w:t>
      </w:r>
      <w:proofErr w:type="spellEnd"/>
      <w:r w:rsidRPr="0089373F">
        <w:t xml:space="preserve"> </w:t>
      </w:r>
      <w:r w:rsidRPr="009163AB">
        <w:t xml:space="preserve">opera </w:t>
      </w:r>
      <w:r w:rsidRPr="0089373F">
        <w:t>1.094 kilómetros de redes de transmisión y 15 subestaciones. </w:t>
      </w:r>
    </w:p>
    <w:p w14:paraId="3F2CFB35" w14:textId="77777777" w:rsidR="00CF27CF" w:rsidRPr="0089373F" w:rsidRDefault="00CF27CF" w:rsidP="00CF27CF">
      <w:pPr>
        <w:spacing w:before="360" w:after="240"/>
        <w:jc w:val="both"/>
        <w:textAlignment w:val="baseline"/>
      </w:pPr>
      <w:r w:rsidRPr="009163AB">
        <w:t xml:space="preserve">Juan Ricardo Ortega, </w:t>
      </w:r>
      <w:r w:rsidRPr="0089373F">
        <w:t>presidente del GEB</w:t>
      </w:r>
      <w:r w:rsidRPr="009163AB">
        <w:t xml:space="preserve">, resaltó esta inversión como un paso más en el </w:t>
      </w:r>
      <w:r w:rsidRPr="0089373F">
        <w:t xml:space="preserve">cumplimiento de las metas del Plan Estratégico Corporativo de la compañía en uno de los mercados más atractivos para el sector de transmisión de energía eléctrica como Brasil, </w:t>
      </w:r>
      <w:r w:rsidRPr="009163AB">
        <w:t xml:space="preserve">que tiene una </w:t>
      </w:r>
      <w:r w:rsidRPr="0089373F">
        <w:t>población superior a los 212 millones de habitantes, que está en crecimiento y tiene en operación más de 162.000 kilómetros de líneas de transmisión.</w:t>
      </w:r>
    </w:p>
    <w:p w14:paraId="52E8BC9E" w14:textId="18CE28FA" w:rsidR="00BF4E00" w:rsidRPr="00E50000" w:rsidRDefault="00BF4E00" w:rsidP="00E50000">
      <w:pPr>
        <w:jc w:val="both"/>
        <w:rPr>
          <w:rFonts w:cstheme="minorHAnsi"/>
          <w:sz w:val="28"/>
          <w:szCs w:val="28"/>
        </w:rPr>
      </w:pPr>
    </w:p>
    <w:bookmarkEnd w:id="0"/>
    <w:sectPr w:rsidR="00BF4E00" w:rsidRPr="00E50000" w:rsidSect="00B273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6A6A" w14:textId="77777777" w:rsidR="00C81DDC" w:rsidRDefault="00C81DDC" w:rsidP="00AC10BB">
      <w:r>
        <w:separator/>
      </w:r>
    </w:p>
  </w:endnote>
  <w:endnote w:type="continuationSeparator" w:id="0">
    <w:p w14:paraId="69E9E1CA" w14:textId="77777777" w:rsidR="00C81DDC" w:rsidRDefault="00C81DDC" w:rsidP="00AC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7DE5" w14:textId="77777777" w:rsidR="00DF3DBB" w:rsidRDefault="00DF3D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20BF" w14:textId="5158C297" w:rsidR="00AC10BB" w:rsidRDefault="00874DCE">
    <w:pPr>
      <w:pStyle w:val="Piedepgina"/>
    </w:pPr>
    <w:r>
      <w:rPr>
        <w:noProof/>
        <w:lang w:eastAsia="es-ES_tradnl"/>
      </w:rPr>
      <w:drawing>
        <wp:anchor distT="0" distB="0" distL="114300" distR="114300" simplePos="0" relativeHeight="251660288" behindDoc="0" locked="0" layoutInCell="1" allowOverlap="1" wp14:anchorId="0A17EAF4" wp14:editId="53D8FB46">
          <wp:simplePos x="0" y="0"/>
          <wp:positionH relativeFrom="page">
            <wp:align>left</wp:align>
          </wp:positionH>
          <wp:positionV relativeFrom="paragraph">
            <wp:posOffset>-283210</wp:posOffset>
          </wp:positionV>
          <wp:extent cx="8132334" cy="818938"/>
          <wp:effectExtent l="0" t="0" r="2540" b="63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para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334" cy="818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9BAA" w14:textId="77777777" w:rsidR="00DF3DBB" w:rsidRDefault="00DF3D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4938" w14:textId="77777777" w:rsidR="00C81DDC" w:rsidRDefault="00C81DDC" w:rsidP="00AC10BB">
      <w:r>
        <w:separator/>
      </w:r>
    </w:p>
  </w:footnote>
  <w:footnote w:type="continuationSeparator" w:id="0">
    <w:p w14:paraId="78121836" w14:textId="77777777" w:rsidR="00C81DDC" w:rsidRDefault="00C81DDC" w:rsidP="00AC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D1BE" w14:textId="77777777" w:rsidR="00DF3DBB" w:rsidRDefault="00DF3D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A544" w14:textId="1FB442AD" w:rsidR="00AC10BB" w:rsidRDefault="00C9267D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4015A094" wp14:editId="3B25DFFC">
          <wp:simplePos x="0" y="0"/>
          <wp:positionH relativeFrom="column">
            <wp:posOffset>1760220</wp:posOffset>
          </wp:positionH>
          <wp:positionV relativeFrom="paragraph">
            <wp:posOffset>-116840</wp:posOffset>
          </wp:positionV>
          <wp:extent cx="2239694" cy="553122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EB Cabezote _formato 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694" cy="553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1F9A" w14:textId="77777777" w:rsidR="00DF3DBB" w:rsidRDefault="00DF3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1E4"/>
    <w:multiLevelType w:val="hybridMultilevel"/>
    <w:tmpl w:val="57D027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0C4"/>
    <w:multiLevelType w:val="hybridMultilevel"/>
    <w:tmpl w:val="1AB602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661C"/>
    <w:multiLevelType w:val="hybridMultilevel"/>
    <w:tmpl w:val="3FF28CF6"/>
    <w:lvl w:ilvl="0" w:tplc="2C3C48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1212"/>
    <w:multiLevelType w:val="hybridMultilevel"/>
    <w:tmpl w:val="DABE6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47F1"/>
    <w:multiLevelType w:val="hybridMultilevel"/>
    <w:tmpl w:val="888280E4"/>
    <w:lvl w:ilvl="0" w:tplc="16949D2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B22EF0"/>
    <w:multiLevelType w:val="hybridMultilevel"/>
    <w:tmpl w:val="D5A81E10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3D0AC2"/>
    <w:multiLevelType w:val="hybridMultilevel"/>
    <w:tmpl w:val="D2405C92"/>
    <w:lvl w:ilvl="0" w:tplc="DD04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E721B"/>
    <w:multiLevelType w:val="hybridMultilevel"/>
    <w:tmpl w:val="903A8D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B09D2"/>
    <w:multiLevelType w:val="hybridMultilevel"/>
    <w:tmpl w:val="E80A5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34C97"/>
    <w:multiLevelType w:val="hybridMultilevel"/>
    <w:tmpl w:val="0D9EE8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02D4E"/>
    <w:multiLevelType w:val="hybridMultilevel"/>
    <w:tmpl w:val="A754CF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C1203"/>
    <w:multiLevelType w:val="hybridMultilevel"/>
    <w:tmpl w:val="59F448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577"/>
    <w:multiLevelType w:val="hybridMultilevel"/>
    <w:tmpl w:val="5EF689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765E2"/>
    <w:multiLevelType w:val="hybridMultilevel"/>
    <w:tmpl w:val="C6621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0932"/>
    <w:multiLevelType w:val="hybridMultilevel"/>
    <w:tmpl w:val="DFC05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D1490"/>
    <w:multiLevelType w:val="hybridMultilevel"/>
    <w:tmpl w:val="F98CF4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E7FCA"/>
    <w:multiLevelType w:val="hybridMultilevel"/>
    <w:tmpl w:val="6750C54E"/>
    <w:lvl w:ilvl="0" w:tplc="24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B4F82"/>
    <w:multiLevelType w:val="hybridMultilevel"/>
    <w:tmpl w:val="E6920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2"/>
  </w:num>
  <w:num w:numId="5">
    <w:abstractNumId w:val="6"/>
  </w:num>
  <w:num w:numId="6">
    <w:abstractNumId w:val="1"/>
  </w:num>
  <w:num w:numId="7">
    <w:abstractNumId w:val="4"/>
  </w:num>
  <w:num w:numId="8">
    <w:abstractNumId w:val="1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  <w:num w:numId="13">
    <w:abstractNumId w:val="15"/>
  </w:num>
  <w:num w:numId="14">
    <w:abstractNumId w:val="17"/>
  </w:num>
  <w:num w:numId="15">
    <w:abstractNumId w:val="0"/>
  </w:num>
  <w:num w:numId="16">
    <w:abstractNumId w:val="13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0BB"/>
    <w:rsid w:val="00010CB7"/>
    <w:rsid w:val="00046CDA"/>
    <w:rsid w:val="00050074"/>
    <w:rsid w:val="000523CD"/>
    <w:rsid w:val="00065326"/>
    <w:rsid w:val="00065B2D"/>
    <w:rsid w:val="00076A5B"/>
    <w:rsid w:val="000A3615"/>
    <w:rsid w:val="000A79F8"/>
    <w:rsid w:val="000C066E"/>
    <w:rsid w:val="000C4A77"/>
    <w:rsid w:val="000D7EDE"/>
    <w:rsid w:val="000F30D1"/>
    <w:rsid w:val="00111267"/>
    <w:rsid w:val="00114495"/>
    <w:rsid w:val="00122661"/>
    <w:rsid w:val="0013507A"/>
    <w:rsid w:val="0015149F"/>
    <w:rsid w:val="0018668E"/>
    <w:rsid w:val="001A254C"/>
    <w:rsid w:val="001B6000"/>
    <w:rsid w:val="001C4A06"/>
    <w:rsid w:val="001C4B2E"/>
    <w:rsid w:val="001D28A2"/>
    <w:rsid w:val="001D423E"/>
    <w:rsid w:val="001D4DC8"/>
    <w:rsid w:val="001D7477"/>
    <w:rsid w:val="001E0ACE"/>
    <w:rsid w:val="001E47E4"/>
    <w:rsid w:val="001E559D"/>
    <w:rsid w:val="002020B5"/>
    <w:rsid w:val="002268B2"/>
    <w:rsid w:val="002510EB"/>
    <w:rsid w:val="00274A16"/>
    <w:rsid w:val="002A5495"/>
    <w:rsid w:val="002A7421"/>
    <w:rsid w:val="002D1C2E"/>
    <w:rsid w:val="002E3980"/>
    <w:rsid w:val="002F1294"/>
    <w:rsid w:val="002F359C"/>
    <w:rsid w:val="002F5B95"/>
    <w:rsid w:val="00323308"/>
    <w:rsid w:val="0033086C"/>
    <w:rsid w:val="00355040"/>
    <w:rsid w:val="003641F4"/>
    <w:rsid w:val="0039359A"/>
    <w:rsid w:val="003966BB"/>
    <w:rsid w:val="003A2E0B"/>
    <w:rsid w:val="003A71AE"/>
    <w:rsid w:val="003C34DD"/>
    <w:rsid w:val="003F342C"/>
    <w:rsid w:val="004149B4"/>
    <w:rsid w:val="00414B1B"/>
    <w:rsid w:val="00425E4A"/>
    <w:rsid w:val="00426B00"/>
    <w:rsid w:val="00455B97"/>
    <w:rsid w:val="004567FC"/>
    <w:rsid w:val="00467EAB"/>
    <w:rsid w:val="004D2FCB"/>
    <w:rsid w:val="004F112B"/>
    <w:rsid w:val="005108C6"/>
    <w:rsid w:val="00512C65"/>
    <w:rsid w:val="00532AD5"/>
    <w:rsid w:val="0054061B"/>
    <w:rsid w:val="00541BA3"/>
    <w:rsid w:val="0056223A"/>
    <w:rsid w:val="00597C86"/>
    <w:rsid w:val="005B1318"/>
    <w:rsid w:val="005B1EC3"/>
    <w:rsid w:val="005B3C67"/>
    <w:rsid w:val="005D2AA2"/>
    <w:rsid w:val="0061309A"/>
    <w:rsid w:val="006353C7"/>
    <w:rsid w:val="00650AE1"/>
    <w:rsid w:val="0066017C"/>
    <w:rsid w:val="006637E6"/>
    <w:rsid w:val="00663AF0"/>
    <w:rsid w:val="00672389"/>
    <w:rsid w:val="00674ECB"/>
    <w:rsid w:val="006B626C"/>
    <w:rsid w:val="006C5294"/>
    <w:rsid w:val="006D551E"/>
    <w:rsid w:val="006E2296"/>
    <w:rsid w:val="006E26CA"/>
    <w:rsid w:val="0071342D"/>
    <w:rsid w:val="007142F7"/>
    <w:rsid w:val="007304CB"/>
    <w:rsid w:val="0073226F"/>
    <w:rsid w:val="00747D04"/>
    <w:rsid w:val="00765803"/>
    <w:rsid w:val="00770C72"/>
    <w:rsid w:val="00773631"/>
    <w:rsid w:val="007764FB"/>
    <w:rsid w:val="007A3DF6"/>
    <w:rsid w:val="007B0189"/>
    <w:rsid w:val="007D3A6C"/>
    <w:rsid w:val="007F190B"/>
    <w:rsid w:val="007F2BDD"/>
    <w:rsid w:val="00802196"/>
    <w:rsid w:val="00824095"/>
    <w:rsid w:val="00843418"/>
    <w:rsid w:val="008725CA"/>
    <w:rsid w:val="008726F9"/>
    <w:rsid w:val="00874DCE"/>
    <w:rsid w:val="0089440F"/>
    <w:rsid w:val="008A3C10"/>
    <w:rsid w:val="008B0242"/>
    <w:rsid w:val="008B769A"/>
    <w:rsid w:val="008B7971"/>
    <w:rsid w:val="008E536B"/>
    <w:rsid w:val="008E5FA0"/>
    <w:rsid w:val="008E72BD"/>
    <w:rsid w:val="008F119D"/>
    <w:rsid w:val="00934307"/>
    <w:rsid w:val="00944386"/>
    <w:rsid w:val="009608E0"/>
    <w:rsid w:val="009627CA"/>
    <w:rsid w:val="0097198E"/>
    <w:rsid w:val="00974FDD"/>
    <w:rsid w:val="00987F80"/>
    <w:rsid w:val="009A2F0A"/>
    <w:rsid w:val="009E058E"/>
    <w:rsid w:val="009F4F9B"/>
    <w:rsid w:val="009F6D22"/>
    <w:rsid w:val="00A0657E"/>
    <w:rsid w:val="00A117D6"/>
    <w:rsid w:val="00A22AFE"/>
    <w:rsid w:val="00A24EF3"/>
    <w:rsid w:val="00A26014"/>
    <w:rsid w:val="00A4265D"/>
    <w:rsid w:val="00A45C62"/>
    <w:rsid w:val="00A51EB6"/>
    <w:rsid w:val="00A52448"/>
    <w:rsid w:val="00A65F2D"/>
    <w:rsid w:val="00A703AA"/>
    <w:rsid w:val="00A82050"/>
    <w:rsid w:val="00A90EF5"/>
    <w:rsid w:val="00AB0D32"/>
    <w:rsid w:val="00AC10BB"/>
    <w:rsid w:val="00AD089E"/>
    <w:rsid w:val="00AE643E"/>
    <w:rsid w:val="00AF43F9"/>
    <w:rsid w:val="00AF5510"/>
    <w:rsid w:val="00B07BFE"/>
    <w:rsid w:val="00B12226"/>
    <w:rsid w:val="00B1405A"/>
    <w:rsid w:val="00B15D3A"/>
    <w:rsid w:val="00B24C40"/>
    <w:rsid w:val="00B26D90"/>
    <w:rsid w:val="00B273BC"/>
    <w:rsid w:val="00B4482C"/>
    <w:rsid w:val="00B6490F"/>
    <w:rsid w:val="00B70FAE"/>
    <w:rsid w:val="00B94288"/>
    <w:rsid w:val="00BB1016"/>
    <w:rsid w:val="00BB4781"/>
    <w:rsid w:val="00BB62CE"/>
    <w:rsid w:val="00BC1AD7"/>
    <w:rsid w:val="00BE6433"/>
    <w:rsid w:val="00BF4E00"/>
    <w:rsid w:val="00C028D0"/>
    <w:rsid w:val="00C1061C"/>
    <w:rsid w:val="00C16FC7"/>
    <w:rsid w:val="00C171B6"/>
    <w:rsid w:val="00C17371"/>
    <w:rsid w:val="00C3541E"/>
    <w:rsid w:val="00C41375"/>
    <w:rsid w:val="00C45D7C"/>
    <w:rsid w:val="00C46F34"/>
    <w:rsid w:val="00C51774"/>
    <w:rsid w:val="00C5579D"/>
    <w:rsid w:val="00C62083"/>
    <w:rsid w:val="00C802B3"/>
    <w:rsid w:val="00C81DDC"/>
    <w:rsid w:val="00C85274"/>
    <w:rsid w:val="00C9267D"/>
    <w:rsid w:val="00C9424A"/>
    <w:rsid w:val="00CB3FD7"/>
    <w:rsid w:val="00CB73BE"/>
    <w:rsid w:val="00CC5A00"/>
    <w:rsid w:val="00CD69D3"/>
    <w:rsid w:val="00CF27CF"/>
    <w:rsid w:val="00CF411D"/>
    <w:rsid w:val="00D02C61"/>
    <w:rsid w:val="00D047CC"/>
    <w:rsid w:val="00D07E68"/>
    <w:rsid w:val="00D13E94"/>
    <w:rsid w:val="00D1763E"/>
    <w:rsid w:val="00D21480"/>
    <w:rsid w:val="00D31E69"/>
    <w:rsid w:val="00D429F7"/>
    <w:rsid w:val="00D43E24"/>
    <w:rsid w:val="00D61F92"/>
    <w:rsid w:val="00D667EF"/>
    <w:rsid w:val="00D71754"/>
    <w:rsid w:val="00D75115"/>
    <w:rsid w:val="00D8366C"/>
    <w:rsid w:val="00D91DD1"/>
    <w:rsid w:val="00DA06BD"/>
    <w:rsid w:val="00DA42D2"/>
    <w:rsid w:val="00DB1396"/>
    <w:rsid w:val="00DC7920"/>
    <w:rsid w:val="00DD5C9C"/>
    <w:rsid w:val="00DF3DBB"/>
    <w:rsid w:val="00DF5424"/>
    <w:rsid w:val="00DF5B9A"/>
    <w:rsid w:val="00E13E7E"/>
    <w:rsid w:val="00E27EF2"/>
    <w:rsid w:val="00E3457A"/>
    <w:rsid w:val="00E37FC6"/>
    <w:rsid w:val="00E454E5"/>
    <w:rsid w:val="00E50000"/>
    <w:rsid w:val="00E749B5"/>
    <w:rsid w:val="00E86D56"/>
    <w:rsid w:val="00EA1242"/>
    <w:rsid w:val="00EB0631"/>
    <w:rsid w:val="00EB719D"/>
    <w:rsid w:val="00EC59B7"/>
    <w:rsid w:val="00EF48BE"/>
    <w:rsid w:val="00F05682"/>
    <w:rsid w:val="00F1423E"/>
    <w:rsid w:val="00F31442"/>
    <w:rsid w:val="00F42CB4"/>
    <w:rsid w:val="00F460C1"/>
    <w:rsid w:val="00F6634D"/>
    <w:rsid w:val="00F81440"/>
    <w:rsid w:val="00F93317"/>
    <w:rsid w:val="00F950D3"/>
    <w:rsid w:val="00FA280E"/>
    <w:rsid w:val="00FC2F29"/>
    <w:rsid w:val="00FD12F7"/>
    <w:rsid w:val="00FD1E37"/>
    <w:rsid w:val="00FD433E"/>
    <w:rsid w:val="00FD5103"/>
    <w:rsid w:val="00FF0E43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B00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67EF"/>
    <w:rPr>
      <w:rFonts w:eastAsiaTheme="minorEastAsia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10BB"/>
    <w:pPr>
      <w:tabs>
        <w:tab w:val="center" w:pos="4252"/>
        <w:tab w:val="right" w:pos="8504"/>
      </w:tabs>
    </w:pPr>
    <w:rPr>
      <w:rFonts w:eastAsiaTheme="minorHAns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10BB"/>
  </w:style>
  <w:style w:type="paragraph" w:styleId="Piedepgina">
    <w:name w:val="footer"/>
    <w:basedOn w:val="Normal"/>
    <w:link w:val="PiedepginaCar"/>
    <w:uiPriority w:val="99"/>
    <w:unhideWhenUsed/>
    <w:rsid w:val="00AC10BB"/>
    <w:pPr>
      <w:tabs>
        <w:tab w:val="center" w:pos="4252"/>
        <w:tab w:val="right" w:pos="8504"/>
      </w:tabs>
    </w:pPr>
    <w:rPr>
      <w:rFonts w:eastAsiaTheme="minorHAns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10BB"/>
  </w:style>
  <w:style w:type="paragraph" w:customStyle="1" w:styleId="Sinespaciado1">
    <w:name w:val="Sin espaciado1"/>
    <w:uiPriority w:val="99"/>
    <w:rsid w:val="00D667EF"/>
    <w:rPr>
      <w:rFonts w:ascii="Calibri" w:eastAsia="Times New Roman" w:hAnsi="Calibri" w:cs="Times New Roman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C46F34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locked/>
    <w:rsid w:val="00F31442"/>
    <w:rPr>
      <w:rFonts w:ascii="Times New Roman" w:eastAsia="Times New Roman" w:hAnsi="Times New Roman" w:cs="Times New Roman"/>
      <w:lang w:val="en-US" w:bidi="en-US"/>
    </w:rPr>
  </w:style>
  <w:style w:type="paragraph" w:styleId="Sinespaciado">
    <w:name w:val="No Spacing"/>
    <w:link w:val="SinespaciadoCar"/>
    <w:uiPriority w:val="1"/>
    <w:qFormat/>
    <w:rsid w:val="00F31442"/>
    <w:rPr>
      <w:rFonts w:ascii="Times New Roman" w:eastAsia="Times New Roman" w:hAnsi="Times New Roman" w:cs="Times New Roman"/>
      <w:lang w:val="en-US" w:bidi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31442"/>
    <w:rPr>
      <w:rFonts w:eastAsiaTheme="minorEastAsia"/>
      <w:lang w:val="es-MX" w:eastAsia="es-ES"/>
    </w:rPr>
  </w:style>
  <w:style w:type="table" w:styleId="Tablaconcuadrcula">
    <w:name w:val="Table Grid"/>
    <w:basedOn w:val="Tablanormal"/>
    <w:uiPriority w:val="39"/>
    <w:rsid w:val="00C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6FD9FD8C73314382928504F3A5AC9E" ma:contentTypeVersion="13" ma:contentTypeDescription="Crear nuevo documento." ma:contentTypeScope="" ma:versionID="20165c3ac9638c438edf4f51124131a2">
  <xsd:schema xmlns:xsd="http://www.w3.org/2001/XMLSchema" xmlns:xs="http://www.w3.org/2001/XMLSchema" xmlns:p="http://schemas.microsoft.com/office/2006/metadata/properties" xmlns:ns3="4fa3a285-a983-4768-83b8-6a48e164db8c" xmlns:ns4="92e4a77c-da96-4935-b16f-22b8e035546d" targetNamespace="http://schemas.microsoft.com/office/2006/metadata/properties" ma:root="true" ma:fieldsID="f66321b2c22fd97e7fa8b225777a5958" ns3:_="" ns4:_="">
    <xsd:import namespace="4fa3a285-a983-4768-83b8-6a48e164db8c"/>
    <xsd:import namespace="92e4a77c-da96-4935-b16f-22b8e0355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3a285-a983-4768-83b8-6a48e164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4a77c-da96-4935-b16f-22b8e0355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697524-B4F9-4182-842D-2658B692E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388C2B-AEF5-4387-A20F-60CAEFD1A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AD6FD-DAB5-4A86-88A5-74BFF3A59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3a285-a983-4768-83b8-6a48e164db8c"/>
    <ds:schemaRef ds:uri="92e4a77c-da96-4935-b16f-22b8e035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538497-AAB0-474F-9F1F-8EC5011B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Lopez Castaneda</dc:creator>
  <cp:keywords/>
  <dc:description/>
  <cp:lastModifiedBy>Juliana</cp:lastModifiedBy>
  <cp:revision>4</cp:revision>
  <dcterms:created xsi:type="dcterms:W3CDTF">2022-02-02T14:45:00Z</dcterms:created>
  <dcterms:modified xsi:type="dcterms:W3CDTF">2022-02-02T14:46:00Z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6440b0-bb43-4d81-a621-bc28eeeaa1f1_Enabled">
    <vt:lpwstr>True</vt:lpwstr>
  </property>
  <property fmtid="{D5CDD505-2E9C-101B-9397-08002B2CF9AE}" pid="3" name="MSIP_Label_f56440b0-bb43-4d81-a621-bc28eeeaa1f1_SiteId">
    <vt:lpwstr>d49de431-8ec2-4627-95dc-a1b041bbab30</vt:lpwstr>
  </property>
  <property fmtid="{D5CDD505-2E9C-101B-9397-08002B2CF9AE}" pid="4" name="MSIP_Label_f56440b0-bb43-4d81-a621-bc28eeeaa1f1_Owner">
    <vt:lpwstr>jguevarag@geb.com.co</vt:lpwstr>
  </property>
  <property fmtid="{D5CDD505-2E9C-101B-9397-08002B2CF9AE}" pid="5" name="MSIP_Label_f56440b0-bb43-4d81-a621-bc28eeeaa1f1_SetDate">
    <vt:lpwstr>2019-05-21T16:10:56.8477261Z</vt:lpwstr>
  </property>
  <property fmtid="{D5CDD505-2E9C-101B-9397-08002B2CF9AE}" pid="6" name="MSIP_Label_f56440b0-bb43-4d81-a621-bc28eeeaa1f1_Name">
    <vt:lpwstr>Sin protección</vt:lpwstr>
  </property>
  <property fmtid="{D5CDD505-2E9C-101B-9397-08002B2CF9AE}" pid="7" name="MSIP_Label_f56440b0-bb43-4d81-a621-bc28eeeaa1f1_Application">
    <vt:lpwstr>Microsoft Azure Information Protection</vt:lpwstr>
  </property>
  <property fmtid="{D5CDD505-2E9C-101B-9397-08002B2CF9AE}" pid="8" name="MSIP_Label_f56440b0-bb43-4d81-a621-bc28eeeaa1f1_Extended_MSFT_Method">
    <vt:lpwstr>Automatic</vt:lpwstr>
  </property>
  <property fmtid="{D5CDD505-2E9C-101B-9397-08002B2CF9AE}" pid="9" name="Sensitivity">
    <vt:lpwstr>Sin protección</vt:lpwstr>
  </property>
  <property fmtid="{D5CDD505-2E9C-101B-9397-08002B2CF9AE}" pid="10" name="ContentTypeId">
    <vt:lpwstr>0x0101006E6FD9FD8C73314382928504F3A5AC9E</vt:lpwstr>
  </property>
</Properties>
</file>