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46589" w14:textId="01E896AB" w:rsidR="00D31E69" w:rsidRDefault="00D31E69" w:rsidP="00D31E69">
      <w:pPr>
        <w:rPr>
          <w:rFonts w:cstheme="minorHAnsi"/>
          <w:b/>
          <w:color w:val="000000" w:themeColor="text1"/>
          <w:sz w:val="28"/>
          <w:szCs w:val="28"/>
        </w:rPr>
      </w:pPr>
      <w:bookmarkStart w:id="0" w:name="_Hlk93413429"/>
    </w:p>
    <w:p w14:paraId="2D79EA89" w14:textId="6A42B6C1" w:rsidR="00532AD5" w:rsidRDefault="009627CA" w:rsidP="00B1405A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Grupo Energía Bogotá y su compañía TGI</w:t>
      </w:r>
      <w:r w:rsidR="00580238">
        <w:rPr>
          <w:rFonts w:cstheme="minorHAnsi"/>
          <w:b/>
          <w:bCs/>
          <w:sz w:val="28"/>
          <w:szCs w:val="28"/>
        </w:rPr>
        <w:t xml:space="preserve">, </w:t>
      </w:r>
      <w:r w:rsidR="002268B2">
        <w:rPr>
          <w:rFonts w:cstheme="minorHAnsi"/>
          <w:b/>
          <w:bCs/>
          <w:sz w:val="28"/>
          <w:szCs w:val="28"/>
        </w:rPr>
        <w:t xml:space="preserve">reconocidas </w:t>
      </w:r>
      <w:r>
        <w:rPr>
          <w:rFonts w:cstheme="minorHAnsi"/>
          <w:b/>
          <w:bCs/>
          <w:sz w:val="28"/>
          <w:szCs w:val="28"/>
        </w:rPr>
        <w:t xml:space="preserve">en el Anuario de Sostenibilidad 2022 de </w:t>
      </w:r>
      <w:r w:rsidR="00B1405A" w:rsidRPr="00B1405A">
        <w:rPr>
          <w:rFonts w:cstheme="minorHAnsi"/>
          <w:b/>
          <w:bCs/>
          <w:sz w:val="28"/>
          <w:szCs w:val="28"/>
        </w:rPr>
        <w:t>S&amp;P Global</w:t>
      </w:r>
    </w:p>
    <w:p w14:paraId="07234783" w14:textId="6F7B0F81" w:rsidR="00B1405A" w:rsidRDefault="00B1405A" w:rsidP="00532AD5">
      <w:pPr>
        <w:rPr>
          <w:rFonts w:cstheme="minorHAnsi"/>
          <w:b/>
          <w:bCs/>
          <w:sz w:val="28"/>
          <w:szCs w:val="28"/>
        </w:rPr>
      </w:pPr>
    </w:p>
    <w:p w14:paraId="31A08E0D" w14:textId="6D299E52" w:rsidR="002F5B95" w:rsidRPr="00355040" w:rsidRDefault="00A24EF3" w:rsidP="00A24EF3">
      <w:pPr>
        <w:pStyle w:val="Prrafodelista"/>
        <w:numPr>
          <w:ilvl w:val="0"/>
          <w:numId w:val="17"/>
        </w:numPr>
        <w:jc w:val="center"/>
        <w:rPr>
          <w:rFonts w:cstheme="minorHAnsi"/>
          <w:i/>
          <w:iCs/>
        </w:rPr>
      </w:pPr>
      <w:r w:rsidRPr="00355040">
        <w:rPr>
          <w:rFonts w:cstheme="minorHAnsi"/>
          <w:i/>
          <w:iCs/>
        </w:rPr>
        <w:t>Se evaluaron 7.554 compañías</w:t>
      </w:r>
      <w:r w:rsidR="00EC59B7" w:rsidRPr="00355040">
        <w:rPr>
          <w:rFonts w:cstheme="minorHAnsi"/>
          <w:i/>
          <w:iCs/>
        </w:rPr>
        <w:t xml:space="preserve"> </w:t>
      </w:r>
      <w:r w:rsidR="00580238">
        <w:rPr>
          <w:rFonts w:cstheme="minorHAnsi"/>
          <w:i/>
          <w:iCs/>
        </w:rPr>
        <w:t xml:space="preserve">del mundo, </w:t>
      </w:r>
      <w:r w:rsidRPr="00355040">
        <w:rPr>
          <w:rFonts w:cstheme="minorHAnsi"/>
          <w:i/>
          <w:iCs/>
        </w:rPr>
        <w:t xml:space="preserve">de las </w:t>
      </w:r>
      <w:r w:rsidR="00580238">
        <w:rPr>
          <w:rFonts w:cstheme="minorHAnsi"/>
          <w:i/>
          <w:iCs/>
        </w:rPr>
        <w:t xml:space="preserve">que </w:t>
      </w:r>
      <w:r w:rsidRPr="00355040">
        <w:rPr>
          <w:rFonts w:cstheme="minorHAnsi"/>
          <w:i/>
          <w:iCs/>
        </w:rPr>
        <w:t>solo 716</w:t>
      </w:r>
      <w:r w:rsidR="00580238">
        <w:rPr>
          <w:rFonts w:cstheme="minorHAnsi"/>
          <w:i/>
          <w:iCs/>
        </w:rPr>
        <w:t xml:space="preserve"> –entre ellas el GEB– </w:t>
      </w:r>
      <w:r w:rsidRPr="00355040">
        <w:rPr>
          <w:rFonts w:cstheme="minorHAnsi"/>
          <w:i/>
          <w:iCs/>
        </w:rPr>
        <w:t>lograron ser incluidas en el anuario</w:t>
      </w:r>
      <w:r w:rsidR="00407FA0">
        <w:rPr>
          <w:rFonts w:cstheme="minorHAnsi"/>
          <w:i/>
          <w:iCs/>
        </w:rPr>
        <w:t>,</w:t>
      </w:r>
      <w:r w:rsidRPr="00355040">
        <w:rPr>
          <w:rFonts w:cstheme="minorHAnsi"/>
          <w:i/>
          <w:iCs/>
        </w:rPr>
        <w:t xml:space="preserve"> por su alto desempeño en sostenibilidad.</w:t>
      </w:r>
    </w:p>
    <w:p w14:paraId="27E58108" w14:textId="1911CB3D" w:rsidR="00A24EF3" w:rsidRDefault="00EC59B7" w:rsidP="00A24EF3">
      <w:pPr>
        <w:pStyle w:val="Prrafodelista"/>
        <w:numPr>
          <w:ilvl w:val="0"/>
          <w:numId w:val="17"/>
        </w:numPr>
        <w:jc w:val="center"/>
        <w:rPr>
          <w:rFonts w:cstheme="minorHAnsi"/>
          <w:i/>
          <w:iCs/>
        </w:rPr>
      </w:pPr>
      <w:r w:rsidRPr="00355040">
        <w:rPr>
          <w:rFonts w:cstheme="minorHAnsi"/>
          <w:i/>
          <w:iCs/>
        </w:rPr>
        <w:t xml:space="preserve">El GEB fue reconocido en la categoría </w:t>
      </w:r>
      <w:r w:rsidR="00580238">
        <w:rPr>
          <w:rFonts w:cstheme="minorHAnsi"/>
          <w:i/>
          <w:iCs/>
        </w:rPr>
        <w:t>‘</w:t>
      </w:r>
      <w:proofErr w:type="spellStart"/>
      <w:r w:rsidR="00824095" w:rsidRPr="00355040">
        <w:rPr>
          <w:rFonts w:cstheme="minorHAnsi"/>
          <w:i/>
          <w:iCs/>
        </w:rPr>
        <w:t>Industry</w:t>
      </w:r>
      <w:proofErr w:type="spellEnd"/>
      <w:r w:rsidR="00824095" w:rsidRPr="00355040">
        <w:rPr>
          <w:rFonts w:cstheme="minorHAnsi"/>
          <w:i/>
          <w:iCs/>
        </w:rPr>
        <w:t xml:space="preserve"> </w:t>
      </w:r>
      <w:proofErr w:type="spellStart"/>
      <w:r w:rsidR="00824095" w:rsidRPr="00355040">
        <w:rPr>
          <w:rFonts w:cstheme="minorHAnsi"/>
          <w:i/>
          <w:iCs/>
        </w:rPr>
        <w:t>mover</w:t>
      </w:r>
      <w:r w:rsidR="004C1304">
        <w:rPr>
          <w:rFonts w:cstheme="minorHAnsi"/>
          <w:i/>
          <w:iCs/>
        </w:rPr>
        <w:t>s</w:t>
      </w:r>
      <w:proofErr w:type="spellEnd"/>
      <w:r w:rsidR="00580238">
        <w:rPr>
          <w:rFonts w:cstheme="minorHAnsi"/>
          <w:i/>
          <w:iCs/>
        </w:rPr>
        <w:t>’</w:t>
      </w:r>
      <w:r w:rsidR="00824095" w:rsidRPr="00355040">
        <w:rPr>
          <w:rFonts w:cstheme="minorHAnsi"/>
          <w:i/>
          <w:iCs/>
        </w:rPr>
        <w:t xml:space="preserve"> y TGI logró su reconocimiento en </w:t>
      </w:r>
      <w:r w:rsidR="00580238">
        <w:rPr>
          <w:rFonts w:cstheme="minorHAnsi"/>
          <w:i/>
          <w:iCs/>
        </w:rPr>
        <w:t>‘</w:t>
      </w:r>
      <w:r w:rsidR="00355040" w:rsidRPr="00355040">
        <w:rPr>
          <w:rFonts w:cstheme="minorHAnsi"/>
          <w:i/>
          <w:iCs/>
        </w:rPr>
        <w:t xml:space="preserve">Silver </w:t>
      </w:r>
      <w:proofErr w:type="spellStart"/>
      <w:r w:rsidR="00580238">
        <w:rPr>
          <w:rFonts w:cstheme="minorHAnsi"/>
          <w:i/>
          <w:iCs/>
        </w:rPr>
        <w:t>c</w:t>
      </w:r>
      <w:r w:rsidR="00355040" w:rsidRPr="00355040">
        <w:rPr>
          <w:rFonts w:cstheme="minorHAnsi"/>
          <w:i/>
          <w:iCs/>
        </w:rPr>
        <w:t>lass</w:t>
      </w:r>
      <w:proofErr w:type="spellEnd"/>
      <w:r w:rsidR="00580238">
        <w:rPr>
          <w:rFonts w:cstheme="minorHAnsi"/>
          <w:i/>
          <w:iCs/>
        </w:rPr>
        <w:t>’</w:t>
      </w:r>
    </w:p>
    <w:p w14:paraId="1753FF23" w14:textId="37C38CA3" w:rsidR="00355040" w:rsidRDefault="00355040" w:rsidP="00355040">
      <w:pPr>
        <w:rPr>
          <w:rFonts w:cstheme="minorHAnsi"/>
          <w:i/>
          <w:iCs/>
        </w:rPr>
      </w:pPr>
    </w:p>
    <w:p w14:paraId="62A33FE4" w14:textId="3976DAF1" w:rsidR="00BE320F" w:rsidRPr="00047466" w:rsidRDefault="00355040" w:rsidP="002268B2">
      <w:pPr>
        <w:jc w:val="both"/>
        <w:rPr>
          <w:rFonts w:cstheme="minorHAnsi"/>
        </w:rPr>
      </w:pPr>
      <w:r w:rsidRPr="00047466">
        <w:rPr>
          <w:rFonts w:cstheme="minorHAnsi"/>
          <w:b/>
          <w:bCs/>
        </w:rPr>
        <w:t xml:space="preserve">Bogotá, 2 de febrero de 2022. </w:t>
      </w:r>
      <w:r w:rsidR="00215689" w:rsidRPr="00F96739">
        <w:rPr>
          <w:rFonts w:cstheme="minorHAnsi"/>
          <w:color w:val="000000" w:themeColor="text1"/>
        </w:rPr>
        <w:t xml:space="preserve">El compromiso </w:t>
      </w:r>
      <w:r w:rsidR="00580238" w:rsidRPr="00F96739">
        <w:rPr>
          <w:rFonts w:cstheme="minorHAnsi"/>
          <w:color w:val="000000" w:themeColor="text1"/>
        </w:rPr>
        <w:t xml:space="preserve">y </w:t>
      </w:r>
      <w:r w:rsidR="00215689" w:rsidRPr="00F96739">
        <w:rPr>
          <w:rFonts w:cstheme="minorHAnsi"/>
          <w:color w:val="000000" w:themeColor="text1"/>
        </w:rPr>
        <w:t xml:space="preserve">las </w:t>
      </w:r>
      <w:r w:rsidR="00580238" w:rsidRPr="00F96739">
        <w:rPr>
          <w:rFonts w:cstheme="minorHAnsi"/>
          <w:color w:val="000000" w:themeColor="text1"/>
        </w:rPr>
        <w:t xml:space="preserve">acciones del Grupo Energía Bogotá </w:t>
      </w:r>
      <w:r w:rsidR="00215689" w:rsidRPr="00F96739">
        <w:rPr>
          <w:rFonts w:cstheme="minorHAnsi"/>
          <w:color w:val="000000" w:themeColor="text1"/>
        </w:rPr>
        <w:t xml:space="preserve">(GEB) </w:t>
      </w:r>
      <w:r w:rsidR="00BE320F" w:rsidRPr="00F96739">
        <w:rPr>
          <w:rFonts w:cstheme="minorHAnsi"/>
          <w:color w:val="000000" w:themeColor="text1"/>
        </w:rPr>
        <w:t>y sus filiales por desarroll</w:t>
      </w:r>
      <w:r w:rsidR="00215689" w:rsidRPr="00F96739">
        <w:rPr>
          <w:rFonts w:cstheme="minorHAnsi"/>
          <w:color w:val="000000" w:themeColor="text1"/>
        </w:rPr>
        <w:t>ar</w:t>
      </w:r>
      <w:r w:rsidR="00BE320F" w:rsidRPr="00F96739">
        <w:rPr>
          <w:rFonts w:cstheme="minorHAnsi"/>
          <w:color w:val="000000" w:themeColor="text1"/>
        </w:rPr>
        <w:t xml:space="preserve"> sus operaciones de manera responsable ambiental y socialmente, y por hacer de la sostenibilidad su estrategia de negocio y su propósito superior</w:t>
      </w:r>
      <w:r w:rsidR="00215689" w:rsidRPr="00F96739">
        <w:rPr>
          <w:rFonts w:cstheme="minorHAnsi"/>
          <w:color w:val="000000" w:themeColor="text1"/>
        </w:rPr>
        <w:t xml:space="preserve"> acaban de ser, una vez más, reconocidos internacionalmente.</w:t>
      </w:r>
    </w:p>
    <w:p w14:paraId="24EDD33D" w14:textId="1FBA233F" w:rsidR="00580238" w:rsidRPr="00047466" w:rsidRDefault="00580238" w:rsidP="002268B2">
      <w:pPr>
        <w:jc w:val="both"/>
        <w:rPr>
          <w:rFonts w:cstheme="minorHAnsi"/>
        </w:rPr>
      </w:pPr>
    </w:p>
    <w:p w14:paraId="71CCCAD3" w14:textId="6A4EE8DD" w:rsidR="001E559D" w:rsidRPr="00047466" w:rsidRDefault="00215689" w:rsidP="002268B2">
      <w:pPr>
        <w:jc w:val="both"/>
        <w:rPr>
          <w:rFonts w:cstheme="minorHAnsi"/>
        </w:rPr>
      </w:pPr>
      <w:r w:rsidRPr="00047466">
        <w:rPr>
          <w:rFonts w:cstheme="minorHAnsi"/>
        </w:rPr>
        <w:t xml:space="preserve">El </w:t>
      </w:r>
      <w:r w:rsidR="00467EAB" w:rsidRPr="00047466">
        <w:rPr>
          <w:rFonts w:cstheme="minorHAnsi"/>
        </w:rPr>
        <w:t xml:space="preserve">GEB y su compañía Transportadora de Gas Internacional (TGI) fueron incluidas </w:t>
      </w:r>
      <w:r w:rsidR="000D7EDE" w:rsidRPr="00047466">
        <w:rPr>
          <w:rFonts w:cstheme="minorHAnsi"/>
        </w:rPr>
        <w:t>en el Anuario de Sostenibilidad del 2022 (</w:t>
      </w:r>
      <w:proofErr w:type="spellStart"/>
      <w:r w:rsidR="000D7EDE" w:rsidRPr="00047466">
        <w:rPr>
          <w:rFonts w:cstheme="minorHAnsi"/>
        </w:rPr>
        <w:t>Sustainability</w:t>
      </w:r>
      <w:proofErr w:type="spellEnd"/>
      <w:r w:rsidR="000D7EDE" w:rsidRPr="00047466">
        <w:rPr>
          <w:rFonts w:cstheme="minorHAnsi"/>
        </w:rPr>
        <w:t xml:space="preserve"> </w:t>
      </w:r>
      <w:proofErr w:type="spellStart"/>
      <w:r w:rsidR="000D7EDE" w:rsidRPr="00047466">
        <w:rPr>
          <w:rFonts w:cstheme="minorHAnsi"/>
        </w:rPr>
        <w:t>Yearbook</w:t>
      </w:r>
      <w:proofErr w:type="spellEnd"/>
      <w:r w:rsidR="000D7EDE" w:rsidRPr="00047466">
        <w:rPr>
          <w:rFonts w:cstheme="minorHAnsi"/>
        </w:rPr>
        <w:t xml:space="preserve"> 2022) de la firma S&amp;P Global</w:t>
      </w:r>
      <w:r w:rsidRPr="00047466">
        <w:rPr>
          <w:rFonts w:cstheme="minorHAnsi"/>
        </w:rPr>
        <w:t>,</w:t>
      </w:r>
      <w:r w:rsidR="000D7EDE" w:rsidRPr="00047466">
        <w:rPr>
          <w:rFonts w:cstheme="minorHAnsi"/>
        </w:rPr>
        <w:t xml:space="preserve"> que presenta las tendencias más relevantes </w:t>
      </w:r>
      <w:r w:rsidR="00736E1F">
        <w:rPr>
          <w:rFonts w:cstheme="minorHAnsi"/>
        </w:rPr>
        <w:t>en la gestión corporativa de los criterios</w:t>
      </w:r>
      <w:r w:rsidRPr="00047466">
        <w:rPr>
          <w:rFonts w:cstheme="minorHAnsi"/>
        </w:rPr>
        <w:t xml:space="preserve"> </w:t>
      </w:r>
      <w:r w:rsidR="000D7EDE" w:rsidRPr="00047466">
        <w:rPr>
          <w:rFonts w:cstheme="minorHAnsi"/>
        </w:rPr>
        <w:t>ESG (</w:t>
      </w:r>
      <w:r w:rsidR="005108C6" w:rsidRPr="00047466">
        <w:rPr>
          <w:rFonts w:cstheme="minorHAnsi"/>
        </w:rPr>
        <w:t xml:space="preserve">medio ambiente, </w:t>
      </w:r>
      <w:r w:rsidR="000D7EDE" w:rsidRPr="00047466">
        <w:rPr>
          <w:rFonts w:cstheme="minorHAnsi"/>
        </w:rPr>
        <w:t xml:space="preserve">social </w:t>
      </w:r>
      <w:r w:rsidR="005108C6" w:rsidRPr="00047466">
        <w:rPr>
          <w:rFonts w:cstheme="minorHAnsi"/>
        </w:rPr>
        <w:t>y gobernanza</w:t>
      </w:r>
      <w:r w:rsidR="000D7EDE" w:rsidRPr="00047466">
        <w:rPr>
          <w:rFonts w:cstheme="minorHAnsi"/>
        </w:rPr>
        <w:t>)</w:t>
      </w:r>
      <w:r w:rsidR="00736E1F">
        <w:rPr>
          <w:rFonts w:cstheme="minorHAnsi"/>
        </w:rPr>
        <w:t xml:space="preserve"> y </w:t>
      </w:r>
      <w:r w:rsidR="002B6767">
        <w:rPr>
          <w:rFonts w:cstheme="minorHAnsi"/>
        </w:rPr>
        <w:t xml:space="preserve">resalta </w:t>
      </w:r>
      <w:r w:rsidR="00736E1F">
        <w:rPr>
          <w:rFonts w:cstheme="minorHAnsi"/>
        </w:rPr>
        <w:t>las empresas con el desempeño más alto en sostenibilidad del mundo</w:t>
      </w:r>
      <w:r w:rsidR="00407FA0">
        <w:rPr>
          <w:rFonts w:cstheme="minorHAnsi"/>
        </w:rPr>
        <w:t>,</w:t>
      </w:r>
      <w:r w:rsidR="006E2747">
        <w:rPr>
          <w:rFonts w:cstheme="minorHAnsi"/>
        </w:rPr>
        <w:t xml:space="preserve"> medido a través de la evaluación de sostenibilidad corporativa (CSA por sus siglas en inglés) de </w:t>
      </w:r>
      <w:r w:rsidR="00407FA0">
        <w:rPr>
          <w:rFonts w:cstheme="minorHAnsi"/>
        </w:rPr>
        <w:t>esa firma</w:t>
      </w:r>
      <w:r w:rsidR="006E2747">
        <w:rPr>
          <w:rFonts w:cstheme="minorHAnsi"/>
        </w:rPr>
        <w:t>.</w:t>
      </w:r>
    </w:p>
    <w:p w14:paraId="5668557C" w14:textId="77777777" w:rsidR="001E559D" w:rsidRPr="00047466" w:rsidRDefault="001E559D" w:rsidP="002268B2">
      <w:pPr>
        <w:jc w:val="both"/>
        <w:rPr>
          <w:rFonts w:cstheme="minorHAnsi"/>
        </w:rPr>
      </w:pPr>
    </w:p>
    <w:p w14:paraId="0EBF7F07" w14:textId="5841FB24" w:rsidR="00215689" w:rsidRPr="00047466" w:rsidRDefault="00215689" w:rsidP="00DD5C9C">
      <w:pPr>
        <w:jc w:val="both"/>
        <w:rPr>
          <w:rFonts w:cstheme="minorHAnsi"/>
        </w:rPr>
      </w:pPr>
      <w:r w:rsidRPr="00047466">
        <w:rPr>
          <w:rFonts w:cstheme="minorHAnsi"/>
        </w:rPr>
        <w:t xml:space="preserve">Para la </w:t>
      </w:r>
      <w:r w:rsidR="00736E1F">
        <w:rPr>
          <w:rFonts w:cstheme="minorHAnsi"/>
        </w:rPr>
        <w:t>construcción</w:t>
      </w:r>
      <w:r w:rsidR="00736E1F" w:rsidRPr="00047466">
        <w:rPr>
          <w:rFonts w:cstheme="minorHAnsi"/>
        </w:rPr>
        <w:t xml:space="preserve"> </w:t>
      </w:r>
      <w:r w:rsidRPr="00047466">
        <w:rPr>
          <w:rFonts w:cstheme="minorHAnsi"/>
        </w:rPr>
        <w:t>del anuario –en el que todas las empresas quieren estar– s</w:t>
      </w:r>
      <w:r w:rsidR="0015149F" w:rsidRPr="00047466">
        <w:rPr>
          <w:rFonts w:cstheme="minorHAnsi"/>
        </w:rPr>
        <w:t>e evaluaron 7.554 compañías</w:t>
      </w:r>
      <w:r w:rsidRPr="00047466">
        <w:rPr>
          <w:rFonts w:cstheme="minorHAnsi"/>
        </w:rPr>
        <w:t>,</w:t>
      </w:r>
      <w:r w:rsidR="0015149F" w:rsidRPr="00047466">
        <w:rPr>
          <w:rFonts w:cstheme="minorHAnsi"/>
        </w:rPr>
        <w:t xml:space="preserve"> de las </w:t>
      </w:r>
      <w:r w:rsidRPr="00047466">
        <w:rPr>
          <w:rFonts w:cstheme="minorHAnsi"/>
        </w:rPr>
        <w:t xml:space="preserve">que </w:t>
      </w:r>
      <w:r w:rsidR="0015149F" w:rsidRPr="00047466">
        <w:rPr>
          <w:rFonts w:cstheme="minorHAnsi"/>
        </w:rPr>
        <w:t xml:space="preserve">solo 716 lograron ser incluidas en </w:t>
      </w:r>
      <w:r w:rsidR="00407FA0">
        <w:rPr>
          <w:rFonts w:cstheme="minorHAnsi"/>
        </w:rPr>
        <w:t xml:space="preserve">ese documento </w:t>
      </w:r>
      <w:r w:rsidR="0015149F" w:rsidRPr="00047466">
        <w:rPr>
          <w:rFonts w:cstheme="minorHAnsi"/>
        </w:rPr>
        <w:t>por su alto desempeño en sostenibilidad.</w:t>
      </w:r>
      <w:r w:rsidRPr="00047466">
        <w:rPr>
          <w:rFonts w:cstheme="minorHAnsi"/>
        </w:rPr>
        <w:t xml:space="preserve"> Entre ellas está </w:t>
      </w:r>
      <w:r w:rsidR="004C1304" w:rsidRPr="00047466">
        <w:rPr>
          <w:rFonts w:cstheme="minorHAnsi"/>
        </w:rPr>
        <w:t>el GEB.</w:t>
      </w:r>
      <w:r w:rsidR="00DD5C9C" w:rsidRPr="00047466">
        <w:rPr>
          <w:rFonts w:cstheme="minorHAnsi"/>
        </w:rPr>
        <w:t xml:space="preserve"> </w:t>
      </w:r>
    </w:p>
    <w:p w14:paraId="2E6DD6B7" w14:textId="77777777" w:rsidR="00215689" w:rsidRPr="00047466" w:rsidRDefault="00215689" w:rsidP="00DD5C9C">
      <w:pPr>
        <w:jc w:val="both"/>
        <w:rPr>
          <w:rFonts w:cstheme="minorHAnsi"/>
        </w:rPr>
      </w:pPr>
    </w:p>
    <w:p w14:paraId="4A49B411" w14:textId="3B8B9F05" w:rsidR="00DD5C9C" w:rsidRPr="00047466" w:rsidRDefault="00DD5C9C" w:rsidP="00DD5C9C">
      <w:pPr>
        <w:jc w:val="both"/>
        <w:rPr>
          <w:rFonts w:cstheme="minorHAnsi"/>
        </w:rPr>
      </w:pPr>
      <w:r w:rsidRPr="00047466">
        <w:rPr>
          <w:rFonts w:cstheme="minorHAnsi"/>
        </w:rPr>
        <w:t xml:space="preserve">Además, </w:t>
      </w:r>
      <w:r w:rsidR="004C1304" w:rsidRPr="00047466">
        <w:rPr>
          <w:rFonts w:cstheme="minorHAnsi"/>
        </w:rPr>
        <w:t xml:space="preserve">esta multilatina </w:t>
      </w:r>
      <w:r w:rsidR="00B12226" w:rsidRPr="00047466">
        <w:rPr>
          <w:rFonts w:cstheme="minorHAnsi"/>
        </w:rPr>
        <w:t>logró ser reconocid</w:t>
      </w:r>
      <w:r w:rsidR="004C1304" w:rsidRPr="00047466">
        <w:rPr>
          <w:rFonts w:cstheme="minorHAnsi"/>
        </w:rPr>
        <w:t>a</w:t>
      </w:r>
      <w:r w:rsidR="00B12226" w:rsidRPr="00047466">
        <w:rPr>
          <w:rFonts w:cstheme="minorHAnsi"/>
        </w:rPr>
        <w:t xml:space="preserve"> entre 53 compañías como</w:t>
      </w:r>
      <w:r w:rsidR="002A5495" w:rsidRPr="00047466">
        <w:rPr>
          <w:rFonts w:cstheme="minorHAnsi"/>
        </w:rPr>
        <w:t xml:space="preserve"> </w:t>
      </w:r>
      <w:r w:rsidR="004C1304" w:rsidRPr="00047466">
        <w:rPr>
          <w:rFonts w:cstheme="minorHAnsi"/>
        </w:rPr>
        <w:t>‘</w:t>
      </w:r>
      <w:r w:rsidR="00821B67">
        <w:rPr>
          <w:rFonts w:cstheme="minorHAnsi"/>
        </w:rPr>
        <w:t>impulsores</w:t>
      </w:r>
      <w:r w:rsidR="00821B67" w:rsidRPr="00047466">
        <w:rPr>
          <w:rFonts w:cstheme="minorHAnsi"/>
        </w:rPr>
        <w:t xml:space="preserve"> </w:t>
      </w:r>
      <w:r w:rsidR="002A5495" w:rsidRPr="00047466">
        <w:rPr>
          <w:rFonts w:cstheme="minorHAnsi"/>
        </w:rPr>
        <w:t>de la industria</w:t>
      </w:r>
      <w:r w:rsidR="004C1304" w:rsidRPr="00047466">
        <w:rPr>
          <w:rFonts w:cstheme="minorHAnsi"/>
        </w:rPr>
        <w:t>’</w:t>
      </w:r>
      <w:r w:rsidR="00B12226" w:rsidRPr="00047466">
        <w:rPr>
          <w:rFonts w:cstheme="minorHAnsi"/>
        </w:rPr>
        <w:t xml:space="preserve"> </w:t>
      </w:r>
      <w:r w:rsidR="002A5495" w:rsidRPr="00047466">
        <w:rPr>
          <w:rFonts w:cstheme="minorHAnsi"/>
        </w:rPr>
        <w:t>(</w:t>
      </w:r>
      <w:r w:rsidR="004C1304" w:rsidRPr="00047466">
        <w:rPr>
          <w:rFonts w:cstheme="minorHAnsi"/>
        </w:rPr>
        <w:t xml:space="preserve">categoría </w:t>
      </w:r>
      <w:proofErr w:type="spellStart"/>
      <w:r w:rsidR="00B12226" w:rsidRPr="00047466">
        <w:rPr>
          <w:rFonts w:cstheme="minorHAnsi"/>
          <w:i/>
          <w:iCs/>
        </w:rPr>
        <w:t>Industry</w:t>
      </w:r>
      <w:proofErr w:type="spellEnd"/>
      <w:r w:rsidR="00B12226" w:rsidRPr="00047466">
        <w:rPr>
          <w:rFonts w:cstheme="minorHAnsi"/>
          <w:i/>
          <w:iCs/>
        </w:rPr>
        <w:t xml:space="preserve"> </w:t>
      </w:r>
      <w:proofErr w:type="spellStart"/>
      <w:r w:rsidR="004C1304" w:rsidRPr="00047466">
        <w:rPr>
          <w:rFonts w:cstheme="minorHAnsi"/>
          <w:i/>
          <w:iCs/>
        </w:rPr>
        <w:t>m</w:t>
      </w:r>
      <w:r w:rsidR="00B12226" w:rsidRPr="00047466">
        <w:rPr>
          <w:rFonts w:cstheme="minorHAnsi"/>
          <w:i/>
          <w:iCs/>
        </w:rPr>
        <w:t>overs</w:t>
      </w:r>
      <w:proofErr w:type="spellEnd"/>
      <w:r w:rsidR="002A5495" w:rsidRPr="00047466">
        <w:rPr>
          <w:rFonts w:cstheme="minorHAnsi"/>
        </w:rPr>
        <w:t xml:space="preserve">) </w:t>
      </w:r>
      <w:r w:rsidR="00A82050" w:rsidRPr="00047466">
        <w:rPr>
          <w:rFonts w:cstheme="minorHAnsi"/>
        </w:rPr>
        <w:t xml:space="preserve">por su mejora </w:t>
      </w:r>
      <w:r w:rsidR="00821B67">
        <w:rPr>
          <w:rFonts w:cstheme="minorHAnsi"/>
        </w:rPr>
        <w:t xml:space="preserve">significativa </w:t>
      </w:r>
      <w:r w:rsidR="00A82050" w:rsidRPr="00047466">
        <w:rPr>
          <w:rFonts w:cstheme="minorHAnsi"/>
        </w:rPr>
        <w:t>en el desempeño de sostenibilidad comparado con el año anterior</w:t>
      </w:r>
      <w:r w:rsidR="00AD089E" w:rsidRPr="00047466">
        <w:rPr>
          <w:rFonts w:cstheme="minorHAnsi"/>
        </w:rPr>
        <w:t xml:space="preserve">. Por su parte, TGI hace parte de las </w:t>
      </w:r>
      <w:r w:rsidRPr="00047466">
        <w:rPr>
          <w:rFonts w:cstheme="minorHAnsi"/>
        </w:rPr>
        <w:t xml:space="preserve">89 </w:t>
      </w:r>
      <w:r w:rsidR="004C1304" w:rsidRPr="00047466">
        <w:rPr>
          <w:rFonts w:cstheme="minorHAnsi"/>
        </w:rPr>
        <w:t xml:space="preserve">empresas que </w:t>
      </w:r>
      <w:r w:rsidRPr="00047466">
        <w:rPr>
          <w:rFonts w:cstheme="minorHAnsi"/>
        </w:rPr>
        <w:t xml:space="preserve">recibieron la distinción </w:t>
      </w:r>
      <w:r w:rsidR="00AD089E" w:rsidRPr="00047466">
        <w:rPr>
          <w:rFonts w:cstheme="minorHAnsi"/>
        </w:rPr>
        <w:t xml:space="preserve">en la categoría plata </w:t>
      </w:r>
      <w:r w:rsidR="00AD089E" w:rsidRPr="00047466">
        <w:rPr>
          <w:rFonts w:cstheme="minorHAnsi"/>
          <w:i/>
          <w:iCs/>
        </w:rPr>
        <w:t>(</w:t>
      </w:r>
      <w:r w:rsidR="008344BE" w:rsidRPr="00047466">
        <w:rPr>
          <w:rFonts w:cstheme="minorHAnsi"/>
          <w:i/>
          <w:iCs/>
        </w:rPr>
        <w:t>S</w:t>
      </w:r>
      <w:r w:rsidRPr="00047466">
        <w:rPr>
          <w:rFonts w:cstheme="minorHAnsi"/>
          <w:i/>
          <w:iCs/>
        </w:rPr>
        <w:t xml:space="preserve">ilver </w:t>
      </w:r>
      <w:proofErr w:type="spellStart"/>
      <w:r w:rsidR="004C1304" w:rsidRPr="00047466">
        <w:rPr>
          <w:rFonts w:cstheme="minorHAnsi"/>
          <w:i/>
          <w:iCs/>
        </w:rPr>
        <w:t>c</w:t>
      </w:r>
      <w:r w:rsidRPr="00047466">
        <w:rPr>
          <w:rFonts w:cstheme="minorHAnsi"/>
          <w:i/>
          <w:iCs/>
        </w:rPr>
        <w:t>lass</w:t>
      </w:r>
      <w:proofErr w:type="spellEnd"/>
      <w:r w:rsidR="00AD089E" w:rsidRPr="00047466">
        <w:rPr>
          <w:rFonts w:cstheme="minorHAnsi"/>
          <w:i/>
          <w:iCs/>
        </w:rPr>
        <w:t>)</w:t>
      </w:r>
      <w:r w:rsidR="00AD089E" w:rsidRPr="00047466">
        <w:rPr>
          <w:rFonts w:cstheme="minorHAnsi"/>
        </w:rPr>
        <w:t xml:space="preserve"> </w:t>
      </w:r>
      <w:r w:rsidR="00426B00" w:rsidRPr="00047466">
        <w:rPr>
          <w:rFonts w:cstheme="minorHAnsi"/>
        </w:rPr>
        <w:t xml:space="preserve">por </w:t>
      </w:r>
      <w:r w:rsidR="006E2747">
        <w:rPr>
          <w:rFonts w:cstheme="minorHAnsi"/>
        </w:rPr>
        <w:t>su puntaje sobresaliente</w:t>
      </w:r>
      <w:r w:rsidR="00426B00" w:rsidRPr="00047466">
        <w:rPr>
          <w:rFonts w:cstheme="minorHAnsi"/>
        </w:rPr>
        <w:t xml:space="preserve"> en la industria de </w:t>
      </w:r>
      <w:r w:rsidR="006E2747">
        <w:rPr>
          <w:rFonts w:cstheme="minorHAnsi"/>
        </w:rPr>
        <w:t xml:space="preserve">almacenamiento y transporte para </w:t>
      </w:r>
      <w:r w:rsidR="00426B00" w:rsidRPr="00047466">
        <w:rPr>
          <w:rFonts w:cstheme="minorHAnsi"/>
        </w:rPr>
        <w:t>petróleo y gas</w:t>
      </w:r>
    </w:p>
    <w:p w14:paraId="18747AAC" w14:textId="24AE7E21" w:rsidR="00426B00" w:rsidRPr="00047466" w:rsidRDefault="00426B00" w:rsidP="00DD5C9C">
      <w:pPr>
        <w:jc w:val="both"/>
        <w:rPr>
          <w:rFonts w:cstheme="minorHAnsi"/>
        </w:rPr>
      </w:pPr>
    </w:p>
    <w:p w14:paraId="55298098" w14:textId="592C5CB8" w:rsidR="00DA06BD" w:rsidRPr="00047466" w:rsidRDefault="00DB1396" w:rsidP="00DD5C9C">
      <w:pPr>
        <w:jc w:val="both"/>
        <w:rPr>
          <w:rFonts w:cstheme="minorHAnsi"/>
          <w:i/>
          <w:iCs/>
        </w:rPr>
      </w:pPr>
      <w:r w:rsidRPr="00047466">
        <w:rPr>
          <w:rFonts w:cstheme="minorHAnsi"/>
          <w:i/>
          <w:iCs/>
        </w:rPr>
        <w:t>“</w:t>
      </w:r>
      <w:r w:rsidR="00AF43F9" w:rsidRPr="00047466">
        <w:rPr>
          <w:rFonts w:cstheme="minorHAnsi"/>
          <w:i/>
          <w:iCs/>
        </w:rPr>
        <w:t>Para un</w:t>
      </w:r>
      <w:r w:rsidR="00114495" w:rsidRPr="00047466">
        <w:rPr>
          <w:rFonts w:cstheme="minorHAnsi"/>
          <w:i/>
          <w:iCs/>
        </w:rPr>
        <w:t>a</w:t>
      </w:r>
      <w:r w:rsidR="00AF43F9" w:rsidRPr="00047466">
        <w:rPr>
          <w:rFonts w:cstheme="minorHAnsi"/>
          <w:i/>
          <w:iCs/>
        </w:rPr>
        <w:t xml:space="preserve"> empresa </w:t>
      </w:r>
      <w:r w:rsidR="00C5579D" w:rsidRPr="00047466">
        <w:rPr>
          <w:rFonts w:cstheme="minorHAnsi"/>
          <w:i/>
          <w:iCs/>
        </w:rPr>
        <w:t>como la nuestra</w:t>
      </w:r>
      <w:r w:rsidR="004C1304" w:rsidRPr="00047466">
        <w:rPr>
          <w:rFonts w:cstheme="minorHAnsi"/>
          <w:i/>
          <w:iCs/>
        </w:rPr>
        <w:t>,</w:t>
      </w:r>
      <w:r w:rsidR="00C5579D" w:rsidRPr="00047466">
        <w:rPr>
          <w:rFonts w:cstheme="minorHAnsi"/>
          <w:i/>
          <w:iCs/>
        </w:rPr>
        <w:t xml:space="preserve"> </w:t>
      </w:r>
      <w:r w:rsidR="00AF43F9" w:rsidRPr="00047466">
        <w:rPr>
          <w:rFonts w:cstheme="minorHAnsi"/>
          <w:i/>
          <w:iCs/>
        </w:rPr>
        <w:t>que tiene ADN públic</w:t>
      </w:r>
      <w:r w:rsidR="00114495" w:rsidRPr="00047466">
        <w:rPr>
          <w:rFonts w:cstheme="minorHAnsi"/>
          <w:i/>
          <w:iCs/>
        </w:rPr>
        <w:t>o,</w:t>
      </w:r>
      <w:r w:rsidR="00AF43F9" w:rsidRPr="00047466">
        <w:rPr>
          <w:rFonts w:cstheme="minorHAnsi"/>
          <w:i/>
          <w:iCs/>
        </w:rPr>
        <w:t xml:space="preserve"> ser líder </w:t>
      </w:r>
      <w:r w:rsidR="00D07E68" w:rsidRPr="00047466">
        <w:rPr>
          <w:rFonts w:cstheme="minorHAnsi"/>
          <w:i/>
          <w:iCs/>
        </w:rPr>
        <w:t>en la región en tema</w:t>
      </w:r>
      <w:r w:rsidR="00114495" w:rsidRPr="00047466">
        <w:rPr>
          <w:rFonts w:cstheme="minorHAnsi"/>
          <w:i/>
          <w:iCs/>
        </w:rPr>
        <w:t>s</w:t>
      </w:r>
      <w:r w:rsidR="00D07E68" w:rsidRPr="00047466">
        <w:rPr>
          <w:rFonts w:cstheme="minorHAnsi"/>
          <w:i/>
          <w:iCs/>
        </w:rPr>
        <w:t xml:space="preserve"> de sostenibilidad muestra </w:t>
      </w:r>
      <w:r w:rsidR="00B15D3A" w:rsidRPr="00047466">
        <w:rPr>
          <w:rFonts w:cstheme="minorHAnsi"/>
          <w:i/>
          <w:iCs/>
        </w:rPr>
        <w:t>el compromiso que tenemos en estos temas</w:t>
      </w:r>
      <w:r w:rsidR="004C1304" w:rsidRPr="00047466">
        <w:rPr>
          <w:rFonts w:cstheme="minorHAnsi"/>
          <w:i/>
          <w:iCs/>
        </w:rPr>
        <w:t xml:space="preserve">; esto lo hemos incorporado </w:t>
      </w:r>
      <w:r w:rsidR="00B15D3A" w:rsidRPr="00047466">
        <w:rPr>
          <w:rFonts w:cstheme="minorHAnsi"/>
          <w:i/>
          <w:iCs/>
        </w:rPr>
        <w:t xml:space="preserve">en nuestra cultura organizacional y nos va a generar oportunidades de crecimiento. </w:t>
      </w:r>
      <w:r w:rsidR="004C1304" w:rsidRPr="00047466">
        <w:rPr>
          <w:rFonts w:cstheme="minorHAnsi"/>
          <w:i/>
          <w:iCs/>
        </w:rPr>
        <w:t xml:space="preserve">Nuestro </w:t>
      </w:r>
      <w:r w:rsidR="00D07E68" w:rsidRPr="00047466">
        <w:rPr>
          <w:rFonts w:cstheme="minorHAnsi"/>
          <w:i/>
          <w:iCs/>
        </w:rPr>
        <w:t>compromiso</w:t>
      </w:r>
      <w:r w:rsidR="00672389" w:rsidRPr="00047466">
        <w:rPr>
          <w:rFonts w:cstheme="minorHAnsi"/>
          <w:i/>
          <w:iCs/>
        </w:rPr>
        <w:t xml:space="preserve"> </w:t>
      </w:r>
      <w:r w:rsidR="00114495" w:rsidRPr="00047466">
        <w:rPr>
          <w:rFonts w:cstheme="minorHAnsi"/>
          <w:i/>
          <w:iCs/>
        </w:rPr>
        <w:t>es en</w:t>
      </w:r>
      <w:r w:rsidR="00672389" w:rsidRPr="00047466">
        <w:rPr>
          <w:rFonts w:cstheme="minorHAnsi"/>
          <w:i/>
          <w:iCs/>
        </w:rPr>
        <w:t xml:space="preserve"> tres dimensiones: </w:t>
      </w:r>
      <w:r w:rsidR="00D07E68" w:rsidRPr="00047466">
        <w:rPr>
          <w:rFonts w:cstheme="minorHAnsi"/>
          <w:i/>
          <w:iCs/>
        </w:rPr>
        <w:t>el Gobierno Corporativo</w:t>
      </w:r>
      <w:r w:rsidR="00E37FC6" w:rsidRPr="00047466">
        <w:rPr>
          <w:rFonts w:cstheme="minorHAnsi"/>
          <w:i/>
          <w:iCs/>
        </w:rPr>
        <w:t xml:space="preserve">, </w:t>
      </w:r>
      <w:r w:rsidR="00A0657E" w:rsidRPr="00047466">
        <w:rPr>
          <w:rFonts w:cstheme="minorHAnsi"/>
          <w:i/>
          <w:iCs/>
        </w:rPr>
        <w:t xml:space="preserve">que nos permite construir una empresa </w:t>
      </w:r>
      <w:r w:rsidR="00E27EF2" w:rsidRPr="00047466">
        <w:rPr>
          <w:rFonts w:cstheme="minorHAnsi"/>
          <w:i/>
          <w:iCs/>
        </w:rPr>
        <w:t>estable en el largo plazo; el medio ambiente</w:t>
      </w:r>
      <w:r w:rsidR="004C1304" w:rsidRPr="00047466">
        <w:rPr>
          <w:rFonts w:cstheme="minorHAnsi"/>
          <w:i/>
          <w:iCs/>
        </w:rPr>
        <w:t>,</w:t>
      </w:r>
      <w:r w:rsidR="00E27EF2" w:rsidRPr="00047466">
        <w:rPr>
          <w:rFonts w:cstheme="minorHAnsi"/>
          <w:i/>
          <w:iCs/>
        </w:rPr>
        <w:t xml:space="preserve"> </w:t>
      </w:r>
      <w:r w:rsidR="00A4265D" w:rsidRPr="00047466">
        <w:rPr>
          <w:rFonts w:cstheme="minorHAnsi"/>
          <w:i/>
          <w:iCs/>
        </w:rPr>
        <w:t xml:space="preserve">que </w:t>
      </w:r>
      <w:r w:rsidR="00D8366C" w:rsidRPr="00047466">
        <w:rPr>
          <w:rFonts w:cstheme="minorHAnsi"/>
          <w:i/>
          <w:iCs/>
        </w:rPr>
        <w:t>es uno de los grandes generadores de negocios</w:t>
      </w:r>
      <w:r w:rsidR="008A3C10" w:rsidRPr="00047466">
        <w:rPr>
          <w:rFonts w:cstheme="minorHAnsi"/>
          <w:i/>
          <w:iCs/>
        </w:rPr>
        <w:t xml:space="preserve"> </w:t>
      </w:r>
      <w:r w:rsidR="00E454E5" w:rsidRPr="00047466">
        <w:rPr>
          <w:rFonts w:cstheme="minorHAnsi"/>
          <w:i/>
          <w:iCs/>
        </w:rPr>
        <w:t>en el mundo</w:t>
      </w:r>
      <w:r w:rsidR="00A51EB6" w:rsidRPr="00047466">
        <w:rPr>
          <w:rFonts w:cstheme="minorHAnsi"/>
          <w:i/>
          <w:iCs/>
        </w:rPr>
        <w:t xml:space="preserve"> con una apuesta </w:t>
      </w:r>
      <w:r w:rsidR="00A45C62" w:rsidRPr="00047466">
        <w:rPr>
          <w:rFonts w:cstheme="minorHAnsi"/>
          <w:i/>
          <w:iCs/>
        </w:rPr>
        <w:t xml:space="preserve">por generar el </w:t>
      </w:r>
      <w:r w:rsidR="00A51EB6" w:rsidRPr="00047466">
        <w:rPr>
          <w:rFonts w:cstheme="minorHAnsi"/>
          <w:i/>
          <w:iCs/>
        </w:rPr>
        <w:t>menor impacto en los recursos naturales</w:t>
      </w:r>
      <w:r w:rsidR="004C1304" w:rsidRPr="00047466">
        <w:rPr>
          <w:rFonts w:cstheme="minorHAnsi"/>
          <w:i/>
          <w:iCs/>
        </w:rPr>
        <w:t>,</w:t>
      </w:r>
      <w:r w:rsidR="00E454E5" w:rsidRPr="00047466">
        <w:rPr>
          <w:rFonts w:cstheme="minorHAnsi"/>
          <w:i/>
          <w:iCs/>
        </w:rPr>
        <w:t xml:space="preserve"> </w:t>
      </w:r>
      <w:r w:rsidR="00D75115" w:rsidRPr="00047466">
        <w:rPr>
          <w:rFonts w:cstheme="minorHAnsi"/>
          <w:i/>
          <w:iCs/>
        </w:rPr>
        <w:t>y tercero</w:t>
      </w:r>
      <w:r w:rsidR="002020B5" w:rsidRPr="00047466">
        <w:rPr>
          <w:rFonts w:cstheme="minorHAnsi"/>
          <w:i/>
          <w:iCs/>
        </w:rPr>
        <w:t>,</w:t>
      </w:r>
      <w:r w:rsidR="00C028D0" w:rsidRPr="00047466">
        <w:rPr>
          <w:rFonts w:cstheme="minorHAnsi"/>
          <w:i/>
          <w:iCs/>
        </w:rPr>
        <w:t xml:space="preserve"> el factor social</w:t>
      </w:r>
      <w:r w:rsidR="004C1304" w:rsidRPr="00047466">
        <w:rPr>
          <w:rFonts w:cstheme="minorHAnsi"/>
          <w:i/>
          <w:iCs/>
        </w:rPr>
        <w:t>,</w:t>
      </w:r>
      <w:r w:rsidR="00C028D0" w:rsidRPr="00047466">
        <w:rPr>
          <w:rFonts w:cstheme="minorHAnsi"/>
          <w:i/>
          <w:iCs/>
        </w:rPr>
        <w:t xml:space="preserve"> donde es fundamental ser aliado en los territorios</w:t>
      </w:r>
      <w:r w:rsidR="00A51EB6" w:rsidRPr="00047466">
        <w:rPr>
          <w:rFonts w:cstheme="minorHAnsi"/>
          <w:i/>
          <w:iCs/>
        </w:rPr>
        <w:t xml:space="preserve"> para mejorar vidas con energía sostenible y competitiva</w:t>
      </w:r>
      <w:r w:rsidR="00C028D0" w:rsidRPr="00047466">
        <w:rPr>
          <w:rFonts w:cstheme="minorHAnsi"/>
          <w:i/>
          <w:iCs/>
        </w:rPr>
        <w:t xml:space="preserve">”, </w:t>
      </w:r>
      <w:r w:rsidR="00C028D0" w:rsidRPr="00047466">
        <w:rPr>
          <w:rFonts w:cstheme="minorHAnsi"/>
        </w:rPr>
        <w:t>destacó</w:t>
      </w:r>
      <w:r w:rsidR="00C028D0" w:rsidRPr="00047466">
        <w:rPr>
          <w:rFonts w:cstheme="minorHAnsi"/>
          <w:i/>
          <w:iCs/>
        </w:rPr>
        <w:t xml:space="preserve"> </w:t>
      </w:r>
      <w:r w:rsidR="00DA06BD" w:rsidRPr="00047466">
        <w:rPr>
          <w:rFonts w:cstheme="minorHAnsi"/>
        </w:rPr>
        <w:t xml:space="preserve">Juan Ricardo Ortega, presidente del </w:t>
      </w:r>
      <w:r w:rsidR="004C1304" w:rsidRPr="00047466">
        <w:rPr>
          <w:rFonts w:cstheme="minorHAnsi"/>
        </w:rPr>
        <w:t>GEB.</w:t>
      </w:r>
    </w:p>
    <w:p w14:paraId="67F79365" w14:textId="77777777" w:rsidR="00426B00" w:rsidRPr="00047466" w:rsidRDefault="00426B00" w:rsidP="00DD5C9C">
      <w:pPr>
        <w:jc w:val="both"/>
        <w:rPr>
          <w:rFonts w:cstheme="minorHAnsi"/>
        </w:rPr>
      </w:pPr>
    </w:p>
    <w:p w14:paraId="5EE70FA2" w14:textId="764C6F0A" w:rsidR="00E81504" w:rsidRPr="00F96739" w:rsidRDefault="004C1304" w:rsidP="00C7076D">
      <w:pPr>
        <w:jc w:val="both"/>
        <w:rPr>
          <w:rFonts w:cstheme="minorHAnsi"/>
        </w:rPr>
      </w:pPr>
      <w:r w:rsidRPr="00047466">
        <w:rPr>
          <w:rFonts w:cstheme="minorHAnsi"/>
        </w:rPr>
        <w:t>E</w:t>
      </w:r>
      <w:r w:rsidR="00CB73BE" w:rsidRPr="00047466">
        <w:rPr>
          <w:rFonts w:cstheme="minorHAnsi"/>
        </w:rPr>
        <w:t>ste reconocimiento</w:t>
      </w:r>
      <w:r w:rsidRPr="00047466">
        <w:rPr>
          <w:rFonts w:cstheme="minorHAnsi"/>
        </w:rPr>
        <w:t xml:space="preserve"> internacional </w:t>
      </w:r>
      <w:r w:rsidR="00CB73BE" w:rsidRPr="00047466">
        <w:rPr>
          <w:rFonts w:cstheme="minorHAnsi"/>
        </w:rPr>
        <w:t xml:space="preserve">se suma </w:t>
      </w:r>
      <w:r w:rsidR="00C7076D" w:rsidRPr="00047466">
        <w:rPr>
          <w:rFonts w:cstheme="minorHAnsi"/>
        </w:rPr>
        <w:t xml:space="preserve">al otorgado a finales de 2021, cuando </w:t>
      </w:r>
      <w:r w:rsidR="00CB73BE" w:rsidRPr="00047466">
        <w:rPr>
          <w:rFonts w:cstheme="minorHAnsi"/>
        </w:rPr>
        <w:t xml:space="preserve">el </w:t>
      </w:r>
      <w:r w:rsidR="00C7076D" w:rsidRPr="00047466">
        <w:rPr>
          <w:rFonts w:cstheme="minorHAnsi"/>
        </w:rPr>
        <w:t xml:space="preserve">GEB </w:t>
      </w:r>
      <w:r w:rsidR="00E50000" w:rsidRPr="00047466">
        <w:rPr>
          <w:rFonts w:cstheme="minorHAnsi"/>
        </w:rPr>
        <w:t xml:space="preserve">ingresó al </w:t>
      </w:r>
      <w:r w:rsidR="008344BE" w:rsidRPr="00047466">
        <w:rPr>
          <w:rFonts w:cstheme="minorHAnsi"/>
        </w:rPr>
        <w:t xml:space="preserve">reconocido </w:t>
      </w:r>
      <w:r w:rsidR="00E50000" w:rsidRPr="00047466">
        <w:rPr>
          <w:rFonts w:cstheme="minorHAnsi"/>
        </w:rPr>
        <w:t>Índice de Sostenibilidad del Dow Jones (DJSI por su sigla en inglés)</w:t>
      </w:r>
      <w:r w:rsidR="00E81504">
        <w:rPr>
          <w:rFonts w:cstheme="minorHAnsi"/>
        </w:rPr>
        <w:t xml:space="preserve"> en </w:t>
      </w:r>
      <w:r w:rsidR="00E81504">
        <w:rPr>
          <w:rFonts w:cstheme="minorHAnsi"/>
        </w:rPr>
        <w:lastRenderedPageBreak/>
        <w:t xml:space="preserve">Mercados Emergentes y el </w:t>
      </w:r>
      <w:r w:rsidR="00E81504" w:rsidRPr="00047466">
        <w:rPr>
          <w:rFonts w:cstheme="minorHAnsi"/>
        </w:rPr>
        <w:t>del Mercado Integrado Latinoamericano (MILA)</w:t>
      </w:r>
      <w:r w:rsidR="00E50000" w:rsidRPr="00047466">
        <w:rPr>
          <w:rFonts w:cstheme="minorHAnsi"/>
        </w:rPr>
        <w:t xml:space="preserve"> </w:t>
      </w:r>
      <w:r w:rsidR="00E81504" w:rsidRPr="00047466">
        <w:rPr>
          <w:rFonts w:cstheme="minorHAnsi"/>
        </w:rPr>
        <w:t xml:space="preserve">por su alto desempeño en </w:t>
      </w:r>
      <w:r w:rsidR="00E81504">
        <w:rPr>
          <w:rFonts w:cstheme="minorHAnsi"/>
        </w:rPr>
        <w:t xml:space="preserve">la gestión de los </w:t>
      </w:r>
      <w:r w:rsidR="00E81504" w:rsidRPr="00047466">
        <w:rPr>
          <w:rFonts w:cstheme="minorHAnsi"/>
        </w:rPr>
        <w:t>aspectos sociales, ambientales, económicos y de gobierno corporativo.</w:t>
      </w:r>
      <w:r w:rsidR="00E81504">
        <w:rPr>
          <w:rFonts w:cstheme="minorHAnsi"/>
        </w:rPr>
        <w:t xml:space="preserve"> GEB alcanzó</w:t>
      </w:r>
      <w:r w:rsidR="00407FA0">
        <w:rPr>
          <w:rFonts w:cstheme="minorHAnsi"/>
        </w:rPr>
        <w:t xml:space="preserve"> </w:t>
      </w:r>
      <w:r w:rsidR="00E50000" w:rsidRPr="00047466">
        <w:rPr>
          <w:rFonts w:cstheme="minorHAnsi"/>
        </w:rPr>
        <w:t xml:space="preserve">una de las más altas calificaciones en </w:t>
      </w:r>
      <w:r w:rsidR="00E81504">
        <w:rPr>
          <w:rFonts w:cstheme="minorHAnsi"/>
        </w:rPr>
        <w:t>la</w:t>
      </w:r>
      <w:r w:rsidR="00E81504" w:rsidRPr="00047466">
        <w:rPr>
          <w:rFonts w:cstheme="minorHAnsi"/>
        </w:rPr>
        <w:t xml:space="preserve"> </w:t>
      </w:r>
      <w:r w:rsidR="00E50000" w:rsidRPr="00047466">
        <w:rPr>
          <w:rFonts w:cstheme="minorHAnsi"/>
        </w:rPr>
        <w:t>industria</w:t>
      </w:r>
      <w:r w:rsidR="00E81504">
        <w:rPr>
          <w:rFonts w:cstheme="minorHAnsi"/>
        </w:rPr>
        <w:t xml:space="preserve"> de </w:t>
      </w:r>
      <w:r w:rsidR="00E81504" w:rsidRPr="00047466">
        <w:rPr>
          <w:rFonts w:cstheme="minorHAnsi"/>
          <w:i/>
          <w:iCs/>
        </w:rPr>
        <w:t xml:space="preserve">gas </w:t>
      </w:r>
      <w:proofErr w:type="spellStart"/>
      <w:r w:rsidR="00E81504" w:rsidRPr="00047466">
        <w:rPr>
          <w:rFonts w:cstheme="minorHAnsi"/>
          <w:i/>
          <w:iCs/>
        </w:rPr>
        <w:t>utilities</w:t>
      </w:r>
      <w:proofErr w:type="spellEnd"/>
      <w:r w:rsidR="00E81504">
        <w:rPr>
          <w:rFonts w:cstheme="minorHAnsi"/>
          <w:i/>
          <w:iCs/>
        </w:rPr>
        <w:t xml:space="preserve">, ubicándose </w:t>
      </w:r>
      <w:r w:rsidR="00E50000" w:rsidRPr="00047466">
        <w:rPr>
          <w:rFonts w:cstheme="minorHAnsi"/>
        </w:rPr>
        <w:t xml:space="preserve">en el cuarto lugar a nivel mundial </w:t>
      </w:r>
      <w:r w:rsidR="008344BE" w:rsidRPr="00047466">
        <w:rPr>
          <w:rFonts w:cstheme="minorHAnsi"/>
        </w:rPr>
        <w:t xml:space="preserve">y primero en América </w:t>
      </w:r>
      <w:r w:rsidR="00E81504">
        <w:rPr>
          <w:rFonts w:cstheme="minorHAnsi"/>
        </w:rPr>
        <w:t>en este sector.</w:t>
      </w:r>
      <w:r w:rsidR="00C7076D" w:rsidRPr="00047466">
        <w:rPr>
          <w:rFonts w:cstheme="minorHAnsi"/>
        </w:rPr>
        <w:t xml:space="preserve"> </w:t>
      </w:r>
    </w:p>
    <w:p w14:paraId="7A68B5CD" w14:textId="77777777" w:rsidR="00E81504" w:rsidRDefault="00E81504" w:rsidP="00C7076D">
      <w:pPr>
        <w:jc w:val="both"/>
        <w:rPr>
          <w:rFonts w:cstheme="minorHAnsi"/>
          <w:i/>
          <w:iCs/>
        </w:rPr>
      </w:pPr>
    </w:p>
    <w:p w14:paraId="63F71FAE" w14:textId="29B78C2E" w:rsidR="00355040" w:rsidRPr="00047466" w:rsidRDefault="00407FA0" w:rsidP="00DD5C9C">
      <w:pPr>
        <w:jc w:val="both"/>
        <w:rPr>
          <w:rFonts w:cstheme="minorHAnsi"/>
        </w:rPr>
      </w:pPr>
      <w:r>
        <w:rPr>
          <w:rFonts w:cstheme="minorHAnsi"/>
        </w:rPr>
        <w:t xml:space="preserve">El </w:t>
      </w:r>
      <w:r w:rsidR="00E81504">
        <w:rPr>
          <w:rFonts w:cstheme="minorHAnsi"/>
        </w:rPr>
        <w:t xml:space="preserve">GEB alcanzó la calificación más alta de la industria </w:t>
      </w:r>
      <w:r w:rsidR="00E50000" w:rsidRPr="00047466">
        <w:rPr>
          <w:rFonts w:cstheme="minorHAnsi"/>
        </w:rPr>
        <w:t xml:space="preserve">en materialidad, gestión del riesgo, reporte social y ambiental, sistemas de gestión ambiental y relacionamiento con grupos de interés. Así mismo, se destacó en áreas como innovación, desarrollo del capital humano, gestión de la cadena de suministro, </w:t>
      </w:r>
      <w:r w:rsidR="005F4B0C">
        <w:rPr>
          <w:rFonts w:cstheme="minorHAnsi"/>
        </w:rPr>
        <w:t xml:space="preserve">conducta empresarial, </w:t>
      </w:r>
      <w:r w:rsidR="00E50000" w:rsidRPr="00047466">
        <w:rPr>
          <w:rFonts w:cstheme="minorHAnsi"/>
        </w:rPr>
        <w:t>biodiversidad y estrategia climática.</w:t>
      </w:r>
    </w:p>
    <w:bookmarkEnd w:id="0"/>
    <w:p w14:paraId="52E8BC9E" w14:textId="18CE28FA" w:rsidR="00BF4E00" w:rsidRPr="00E50000" w:rsidRDefault="00BF4E00" w:rsidP="00E50000">
      <w:pPr>
        <w:jc w:val="both"/>
        <w:rPr>
          <w:rFonts w:cstheme="minorHAnsi"/>
          <w:sz w:val="28"/>
          <w:szCs w:val="28"/>
        </w:rPr>
      </w:pPr>
    </w:p>
    <w:sectPr w:rsidR="00BF4E00" w:rsidRPr="00E50000" w:rsidSect="00B273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C93EA" w14:textId="77777777" w:rsidR="007F7292" w:rsidRDefault="007F7292" w:rsidP="00AC10BB">
      <w:r>
        <w:separator/>
      </w:r>
    </w:p>
  </w:endnote>
  <w:endnote w:type="continuationSeparator" w:id="0">
    <w:p w14:paraId="3876632C" w14:textId="77777777" w:rsidR="007F7292" w:rsidRDefault="007F7292" w:rsidP="00AC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F7DE5" w14:textId="77777777" w:rsidR="00DF3DBB" w:rsidRDefault="00DF3DB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020BF" w14:textId="5158C297" w:rsidR="00AC10BB" w:rsidRDefault="00874DCE">
    <w:pPr>
      <w:pStyle w:val="Piedepgina"/>
    </w:pPr>
    <w:r>
      <w:rPr>
        <w:noProof/>
        <w:lang w:eastAsia="es-ES_tradnl"/>
      </w:rPr>
      <w:drawing>
        <wp:anchor distT="0" distB="0" distL="114300" distR="114300" simplePos="0" relativeHeight="251660288" behindDoc="0" locked="0" layoutInCell="1" allowOverlap="1" wp14:anchorId="0A17EAF4" wp14:editId="53D8FB46">
          <wp:simplePos x="0" y="0"/>
          <wp:positionH relativeFrom="page">
            <wp:align>left</wp:align>
          </wp:positionH>
          <wp:positionV relativeFrom="paragraph">
            <wp:posOffset>-283210</wp:posOffset>
          </wp:positionV>
          <wp:extent cx="8132334" cy="818938"/>
          <wp:effectExtent l="0" t="0" r="2540" b="63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 para 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2334" cy="818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F9BAA" w14:textId="77777777" w:rsidR="00DF3DBB" w:rsidRDefault="00DF3D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CF803" w14:textId="77777777" w:rsidR="007F7292" w:rsidRDefault="007F7292" w:rsidP="00AC10BB">
      <w:r>
        <w:separator/>
      </w:r>
    </w:p>
  </w:footnote>
  <w:footnote w:type="continuationSeparator" w:id="0">
    <w:p w14:paraId="586B57C7" w14:textId="77777777" w:rsidR="007F7292" w:rsidRDefault="007F7292" w:rsidP="00AC1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D1BE" w14:textId="77777777" w:rsidR="00DF3DBB" w:rsidRDefault="00DF3DB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AA544" w14:textId="1FB442AD" w:rsidR="00AC10BB" w:rsidRDefault="00C9267D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59264" behindDoc="0" locked="0" layoutInCell="1" allowOverlap="1" wp14:anchorId="4015A094" wp14:editId="3B25DFFC">
          <wp:simplePos x="0" y="0"/>
          <wp:positionH relativeFrom="column">
            <wp:posOffset>1760220</wp:posOffset>
          </wp:positionH>
          <wp:positionV relativeFrom="paragraph">
            <wp:posOffset>-116840</wp:posOffset>
          </wp:positionV>
          <wp:extent cx="2239694" cy="553122"/>
          <wp:effectExtent l="0" t="0" r="0" b="571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EB Cabezote _formato car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9694" cy="553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51F9A" w14:textId="77777777" w:rsidR="00DF3DBB" w:rsidRDefault="00DF3DB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961E4"/>
    <w:multiLevelType w:val="hybridMultilevel"/>
    <w:tmpl w:val="57D027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70C4"/>
    <w:multiLevelType w:val="hybridMultilevel"/>
    <w:tmpl w:val="1AB602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0661C"/>
    <w:multiLevelType w:val="hybridMultilevel"/>
    <w:tmpl w:val="3FF28CF6"/>
    <w:lvl w:ilvl="0" w:tplc="2C3C48A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u w:val="none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F1212"/>
    <w:multiLevelType w:val="hybridMultilevel"/>
    <w:tmpl w:val="DABE67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347F1"/>
    <w:multiLevelType w:val="hybridMultilevel"/>
    <w:tmpl w:val="888280E4"/>
    <w:lvl w:ilvl="0" w:tplc="16949D28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B22EF0"/>
    <w:multiLevelType w:val="hybridMultilevel"/>
    <w:tmpl w:val="D5A81E10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3D0AC2"/>
    <w:multiLevelType w:val="hybridMultilevel"/>
    <w:tmpl w:val="D2405C92"/>
    <w:lvl w:ilvl="0" w:tplc="DD04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E721B"/>
    <w:multiLevelType w:val="hybridMultilevel"/>
    <w:tmpl w:val="903A8D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B09D2"/>
    <w:multiLevelType w:val="hybridMultilevel"/>
    <w:tmpl w:val="E80A52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02D4E"/>
    <w:multiLevelType w:val="hybridMultilevel"/>
    <w:tmpl w:val="A754CF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C1203"/>
    <w:multiLevelType w:val="hybridMultilevel"/>
    <w:tmpl w:val="59F448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577"/>
    <w:multiLevelType w:val="hybridMultilevel"/>
    <w:tmpl w:val="5EF6897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0765E2"/>
    <w:multiLevelType w:val="hybridMultilevel"/>
    <w:tmpl w:val="C6621A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90932"/>
    <w:multiLevelType w:val="hybridMultilevel"/>
    <w:tmpl w:val="DFC059A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4D1490"/>
    <w:multiLevelType w:val="hybridMultilevel"/>
    <w:tmpl w:val="F98CF4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0E7FCA"/>
    <w:multiLevelType w:val="hybridMultilevel"/>
    <w:tmpl w:val="6750C54E"/>
    <w:lvl w:ilvl="0" w:tplc="24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8B4F82"/>
    <w:multiLevelType w:val="hybridMultilevel"/>
    <w:tmpl w:val="E6920B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11"/>
  </w:num>
  <w:num w:numId="5">
    <w:abstractNumId w:val="6"/>
  </w:num>
  <w:num w:numId="6">
    <w:abstractNumId w:val="1"/>
  </w:num>
  <w:num w:numId="7">
    <w:abstractNumId w:val="4"/>
  </w:num>
  <w:num w:numId="8">
    <w:abstractNumId w:val="15"/>
  </w:num>
  <w:num w:numId="9">
    <w:abstractNumId w:val="8"/>
  </w:num>
  <w:num w:numId="10">
    <w:abstractNumId w:val="9"/>
  </w:num>
  <w:num w:numId="11">
    <w:abstractNumId w:val="7"/>
  </w:num>
  <w:num w:numId="12">
    <w:abstractNumId w:val="10"/>
  </w:num>
  <w:num w:numId="13">
    <w:abstractNumId w:val="14"/>
  </w:num>
  <w:num w:numId="14">
    <w:abstractNumId w:val="16"/>
  </w:num>
  <w:num w:numId="15">
    <w:abstractNumId w:val="0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0BB"/>
    <w:rsid w:val="00010CB7"/>
    <w:rsid w:val="00046CDA"/>
    <w:rsid w:val="00047466"/>
    <w:rsid w:val="00050074"/>
    <w:rsid w:val="000523CD"/>
    <w:rsid w:val="00065326"/>
    <w:rsid w:val="00065B2D"/>
    <w:rsid w:val="00076A5B"/>
    <w:rsid w:val="000A3615"/>
    <w:rsid w:val="000A79F8"/>
    <w:rsid w:val="000C066E"/>
    <w:rsid w:val="000C4A77"/>
    <w:rsid w:val="000D7EDE"/>
    <w:rsid w:val="000E3EFC"/>
    <w:rsid w:val="000F30D1"/>
    <w:rsid w:val="00111267"/>
    <w:rsid w:val="00114495"/>
    <w:rsid w:val="00122661"/>
    <w:rsid w:val="0013507A"/>
    <w:rsid w:val="0015149F"/>
    <w:rsid w:val="0018668E"/>
    <w:rsid w:val="001A254C"/>
    <w:rsid w:val="001B6000"/>
    <w:rsid w:val="001C4A06"/>
    <w:rsid w:val="001C4B2E"/>
    <w:rsid w:val="001D28A2"/>
    <w:rsid w:val="001D423E"/>
    <w:rsid w:val="001D4DC8"/>
    <w:rsid w:val="001D7477"/>
    <w:rsid w:val="001E0ACE"/>
    <w:rsid w:val="001E47E4"/>
    <w:rsid w:val="001E559D"/>
    <w:rsid w:val="002020B5"/>
    <w:rsid w:val="00215689"/>
    <w:rsid w:val="002268B2"/>
    <w:rsid w:val="002510EB"/>
    <w:rsid w:val="00274A16"/>
    <w:rsid w:val="002A5495"/>
    <w:rsid w:val="002A7421"/>
    <w:rsid w:val="002B6767"/>
    <w:rsid w:val="002D1C2E"/>
    <w:rsid w:val="002E3980"/>
    <w:rsid w:val="002F1294"/>
    <w:rsid w:val="002F359C"/>
    <w:rsid w:val="002F5B95"/>
    <w:rsid w:val="00323308"/>
    <w:rsid w:val="0033086C"/>
    <w:rsid w:val="00355040"/>
    <w:rsid w:val="003641F4"/>
    <w:rsid w:val="0039359A"/>
    <w:rsid w:val="003966BB"/>
    <w:rsid w:val="003A2E0B"/>
    <w:rsid w:val="003A71AE"/>
    <w:rsid w:val="003C34DD"/>
    <w:rsid w:val="003F342C"/>
    <w:rsid w:val="00407FA0"/>
    <w:rsid w:val="004149B4"/>
    <w:rsid w:val="00414B1B"/>
    <w:rsid w:val="00425E4A"/>
    <w:rsid w:val="00426B00"/>
    <w:rsid w:val="00455B97"/>
    <w:rsid w:val="004567FC"/>
    <w:rsid w:val="00467EAB"/>
    <w:rsid w:val="004B3D1B"/>
    <w:rsid w:val="004C1304"/>
    <w:rsid w:val="004D2FCB"/>
    <w:rsid w:val="004F112B"/>
    <w:rsid w:val="005108C6"/>
    <w:rsid w:val="00512C65"/>
    <w:rsid w:val="00532AD5"/>
    <w:rsid w:val="0054061B"/>
    <w:rsid w:val="00541BA3"/>
    <w:rsid w:val="0056223A"/>
    <w:rsid w:val="00580238"/>
    <w:rsid w:val="00597C86"/>
    <w:rsid w:val="005B1318"/>
    <w:rsid w:val="005B1EC3"/>
    <w:rsid w:val="005B3C67"/>
    <w:rsid w:val="005D2AA2"/>
    <w:rsid w:val="005F4B0C"/>
    <w:rsid w:val="0061309A"/>
    <w:rsid w:val="006353C7"/>
    <w:rsid w:val="00650AE1"/>
    <w:rsid w:val="006565C7"/>
    <w:rsid w:val="0066017C"/>
    <w:rsid w:val="006637E6"/>
    <w:rsid w:val="00663AF0"/>
    <w:rsid w:val="00672389"/>
    <w:rsid w:val="00674ECB"/>
    <w:rsid w:val="006B626C"/>
    <w:rsid w:val="006C5294"/>
    <w:rsid w:val="006D551E"/>
    <w:rsid w:val="006E2296"/>
    <w:rsid w:val="006E26CA"/>
    <w:rsid w:val="006E2747"/>
    <w:rsid w:val="0071342D"/>
    <w:rsid w:val="007142F7"/>
    <w:rsid w:val="007304CB"/>
    <w:rsid w:val="0073226F"/>
    <w:rsid w:val="00736E1F"/>
    <w:rsid w:val="00747D04"/>
    <w:rsid w:val="00765803"/>
    <w:rsid w:val="00773631"/>
    <w:rsid w:val="007764FB"/>
    <w:rsid w:val="007A3DF6"/>
    <w:rsid w:val="007B0189"/>
    <w:rsid w:val="007D3A6C"/>
    <w:rsid w:val="007F190B"/>
    <w:rsid w:val="007F2BDD"/>
    <w:rsid w:val="007F7292"/>
    <w:rsid w:val="00802196"/>
    <w:rsid w:val="00821B67"/>
    <w:rsid w:val="00824095"/>
    <w:rsid w:val="008344BE"/>
    <w:rsid w:val="00843418"/>
    <w:rsid w:val="00867FFD"/>
    <w:rsid w:val="008725CA"/>
    <w:rsid w:val="008726F9"/>
    <w:rsid w:val="00874DCE"/>
    <w:rsid w:val="0089440F"/>
    <w:rsid w:val="008A3C10"/>
    <w:rsid w:val="008B0242"/>
    <w:rsid w:val="008B769A"/>
    <w:rsid w:val="008B7971"/>
    <w:rsid w:val="008E536B"/>
    <w:rsid w:val="008E5FA0"/>
    <w:rsid w:val="008E72BD"/>
    <w:rsid w:val="008F119D"/>
    <w:rsid w:val="00934307"/>
    <w:rsid w:val="00944386"/>
    <w:rsid w:val="009608E0"/>
    <w:rsid w:val="009627CA"/>
    <w:rsid w:val="0097198E"/>
    <w:rsid w:val="00974FDD"/>
    <w:rsid w:val="00987F80"/>
    <w:rsid w:val="009A2F0A"/>
    <w:rsid w:val="009E058E"/>
    <w:rsid w:val="009F4F9B"/>
    <w:rsid w:val="009F6D22"/>
    <w:rsid w:val="00A0657E"/>
    <w:rsid w:val="00A117D6"/>
    <w:rsid w:val="00A22AFE"/>
    <w:rsid w:val="00A24EF3"/>
    <w:rsid w:val="00A26014"/>
    <w:rsid w:val="00A4265D"/>
    <w:rsid w:val="00A45C62"/>
    <w:rsid w:val="00A51EB6"/>
    <w:rsid w:val="00A65F2D"/>
    <w:rsid w:val="00A703AA"/>
    <w:rsid w:val="00A82050"/>
    <w:rsid w:val="00A90EF5"/>
    <w:rsid w:val="00AB0D32"/>
    <w:rsid w:val="00AC10BB"/>
    <w:rsid w:val="00AD089E"/>
    <w:rsid w:val="00AE643E"/>
    <w:rsid w:val="00AF43F9"/>
    <w:rsid w:val="00AF5510"/>
    <w:rsid w:val="00B07BFE"/>
    <w:rsid w:val="00B12226"/>
    <w:rsid w:val="00B1405A"/>
    <w:rsid w:val="00B15D3A"/>
    <w:rsid w:val="00B24C40"/>
    <w:rsid w:val="00B26D90"/>
    <w:rsid w:val="00B273BC"/>
    <w:rsid w:val="00B4482C"/>
    <w:rsid w:val="00B6490F"/>
    <w:rsid w:val="00B70FAE"/>
    <w:rsid w:val="00B94288"/>
    <w:rsid w:val="00BB1016"/>
    <w:rsid w:val="00BB4781"/>
    <w:rsid w:val="00BB62CE"/>
    <w:rsid w:val="00BC1AD7"/>
    <w:rsid w:val="00BE320F"/>
    <w:rsid w:val="00BE6433"/>
    <w:rsid w:val="00BF4E00"/>
    <w:rsid w:val="00C028D0"/>
    <w:rsid w:val="00C1061C"/>
    <w:rsid w:val="00C16FC7"/>
    <w:rsid w:val="00C171B6"/>
    <w:rsid w:val="00C17371"/>
    <w:rsid w:val="00C3541E"/>
    <w:rsid w:val="00C41375"/>
    <w:rsid w:val="00C45D7C"/>
    <w:rsid w:val="00C46F34"/>
    <w:rsid w:val="00C51774"/>
    <w:rsid w:val="00C5579D"/>
    <w:rsid w:val="00C62083"/>
    <w:rsid w:val="00C7076D"/>
    <w:rsid w:val="00C802B3"/>
    <w:rsid w:val="00C81DDC"/>
    <w:rsid w:val="00C85274"/>
    <w:rsid w:val="00C9267D"/>
    <w:rsid w:val="00C9424A"/>
    <w:rsid w:val="00CB3FD7"/>
    <w:rsid w:val="00CB73BE"/>
    <w:rsid w:val="00CC5A00"/>
    <w:rsid w:val="00CD69D3"/>
    <w:rsid w:val="00CF411D"/>
    <w:rsid w:val="00D02C61"/>
    <w:rsid w:val="00D047CC"/>
    <w:rsid w:val="00D07E68"/>
    <w:rsid w:val="00D13E94"/>
    <w:rsid w:val="00D1763E"/>
    <w:rsid w:val="00D21480"/>
    <w:rsid w:val="00D31E69"/>
    <w:rsid w:val="00D429F7"/>
    <w:rsid w:val="00D43E24"/>
    <w:rsid w:val="00D61F92"/>
    <w:rsid w:val="00D667EF"/>
    <w:rsid w:val="00D71754"/>
    <w:rsid w:val="00D75115"/>
    <w:rsid w:val="00D8366C"/>
    <w:rsid w:val="00D91DD1"/>
    <w:rsid w:val="00DA06BD"/>
    <w:rsid w:val="00DA42D2"/>
    <w:rsid w:val="00DB1396"/>
    <w:rsid w:val="00DC7920"/>
    <w:rsid w:val="00DD5C9C"/>
    <w:rsid w:val="00DF3DBB"/>
    <w:rsid w:val="00DF5424"/>
    <w:rsid w:val="00DF5B9A"/>
    <w:rsid w:val="00E13E7E"/>
    <w:rsid w:val="00E27EF2"/>
    <w:rsid w:val="00E3457A"/>
    <w:rsid w:val="00E37FC6"/>
    <w:rsid w:val="00E454E5"/>
    <w:rsid w:val="00E50000"/>
    <w:rsid w:val="00E749B5"/>
    <w:rsid w:val="00E81504"/>
    <w:rsid w:val="00E86D56"/>
    <w:rsid w:val="00EA1242"/>
    <w:rsid w:val="00EB0631"/>
    <w:rsid w:val="00EB719D"/>
    <w:rsid w:val="00EC59B7"/>
    <w:rsid w:val="00EF48BE"/>
    <w:rsid w:val="00F05682"/>
    <w:rsid w:val="00F1423E"/>
    <w:rsid w:val="00F31442"/>
    <w:rsid w:val="00F42CB4"/>
    <w:rsid w:val="00F460C1"/>
    <w:rsid w:val="00F6634D"/>
    <w:rsid w:val="00F81440"/>
    <w:rsid w:val="00F93317"/>
    <w:rsid w:val="00F950D3"/>
    <w:rsid w:val="00F96739"/>
    <w:rsid w:val="00FA280E"/>
    <w:rsid w:val="00FC2F29"/>
    <w:rsid w:val="00FD12F7"/>
    <w:rsid w:val="00FD1E37"/>
    <w:rsid w:val="00FD433E"/>
    <w:rsid w:val="00FD5103"/>
    <w:rsid w:val="00FF0E43"/>
    <w:rsid w:val="00FF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B004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667EF"/>
    <w:rPr>
      <w:rFonts w:eastAsiaTheme="minorEastAsia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10BB"/>
    <w:pPr>
      <w:tabs>
        <w:tab w:val="center" w:pos="4252"/>
        <w:tab w:val="right" w:pos="8504"/>
      </w:tabs>
    </w:pPr>
    <w:rPr>
      <w:rFonts w:eastAsiaTheme="minorHAnsi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C10BB"/>
  </w:style>
  <w:style w:type="paragraph" w:styleId="Piedepgina">
    <w:name w:val="footer"/>
    <w:basedOn w:val="Normal"/>
    <w:link w:val="PiedepginaCar"/>
    <w:uiPriority w:val="99"/>
    <w:unhideWhenUsed/>
    <w:rsid w:val="00AC10BB"/>
    <w:pPr>
      <w:tabs>
        <w:tab w:val="center" w:pos="4252"/>
        <w:tab w:val="right" w:pos="8504"/>
      </w:tabs>
    </w:pPr>
    <w:rPr>
      <w:rFonts w:eastAsiaTheme="minorHAnsi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C10BB"/>
  </w:style>
  <w:style w:type="paragraph" w:customStyle="1" w:styleId="Sinespaciado1">
    <w:name w:val="Sin espaciado1"/>
    <w:uiPriority w:val="99"/>
    <w:rsid w:val="00D667EF"/>
    <w:rPr>
      <w:rFonts w:ascii="Calibri" w:eastAsia="Times New Roman" w:hAnsi="Calibri" w:cs="Times New Roman"/>
      <w:sz w:val="22"/>
      <w:szCs w:val="22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C46F34"/>
    <w:pPr>
      <w:ind w:left="720"/>
      <w:contextualSpacing/>
    </w:pPr>
  </w:style>
  <w:style w:type="character" w:customStyle="1" w:styleId="SinespaciadoCar">
    <w:name w:val="Sin espaciado Car"/>
    <w:link w:val="Sinespaciado"/>
    <w:uiPriority w:val="1"/>
    <w:locked/>
    <w:rsid w:val="00F31442"/>
    <w:rPr>
      <w:rFonts w:ascii="Times New Roman" w:eastAsia="Times New Roman" w:hAnsi="Times New Roman" w:cs="Times New Roman"/>
      <w:lang w:val="en-US" w:bidi="en-US"/>
    </w:rPr>
  </w:style>
  <w:style w:type="paragraph" w:styleId="Sinespaciado">
    <w:name w:val="No Spacing"/>
    <w:link w:val="SinespaciadoCar"/>
    <w:uiPriority w:val="1"/>
    <w:qFormat/>
    <w:rsid w:val="00F31442"/>
    <w:rPr>
      <w:rFonts w:ascii="Times New Roman" w:eastAsia="Times New Roman" w:hAnsi="Times New Roman" w:cs="Times New Roman"/>
      <w:lang w:val="en-US" w:bidi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F31442"/>
    <w:rPr>
      <w:rFonts w:eastAsiaTheme="minorEastAsia"/>
      <w:lang w:val="es-MX" w:eastAsia="es-ES"/>
    </w:rPr>
  </w:style>
  <w:style w:type="table" w:styleId="Tablaconcuadrcula">
    <w:name w:val="Table Grid"/>
    <w:basedOn w:val="Tablanormal"/>
    <w:uiPriority w:val="39"/>
    <w:rsid w:val="00C16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736E1F"/>
    <w:rPr>
      <w:rFonts w:eastAsiaTheme="minorEastAsia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6FD9FD8C73314382928504F3A5AC9E" ma:contentTypeVersion="13" ma:contentTypeDescription="Crear nuevo documento." ma:contentTypeScope="" ma:versionID="20165c3ac9638c438edf4f51124131a2">
  <xsd:schema xmlns:xsd="http://www.w3.org/2001/XMLSchema" xmlns:xs="http://www.w3.org/2001/XMLSchema" xmlns:p="http://schemas.microsoft.com/office/2006/metadata/properties" xmlns:ns3="4fa3a285-a983-4768-83b8-6a48e164db8c" xmlns:ns4="92e4a77c-da96-4935-b16f-22b8e035546d" targetNamespace="http://schemas.microsoft.com/office/2006/metadata/properties" ma:root="true" ma:fieldsID="f66321b2c22fd97e7fa8b225777a5958" ns3:_="" ns4:_="">
    <xsd:import namespace="4fa3a285-a983-4768-83b8-6a48e164db8c"/>
    <xsd:import namespace="92e4a77c-da96-4935-b16f-22b8e0355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3a285-a983-4768-83b8-6a48e164d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4a77c-da96-4935-b16f-22b8e0355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697524-B4F9-4182-842D-2658B692E3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538497-AAB0-474F-9F1F-8EC5011BC8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7AD6FD-DAB5-4A86-88A5-74BFF3A59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a3a285-a983-4768-83b8-6a48e164db8c"/>
    <ds:schemaRef ds:uri="92e4a77c-da96-4935-b16f-22b8e0355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388C2B-AEF5-4387-A20F-60CAEFD1AA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537</Words>
  <Characters>2958</Characters>
  <Application>Microsoft Office Word</Application>
  <DocSecurity>4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David Lopez Castaneda</dc:creator>
  <cp:keywords/>
  <dc:description/>
  <cp:lastModifiedBy>Jorge Luis Duran Pastrana</cp:lastModifiedBy>
  <cp:revision>2</cp:revision>
  <dcterms:created xsi:type="dcterms:W3CDTF">2022-02-02T19:10:00Z</dcterms:created>
  <dcterms:modified xsi:type="dcterms:W3CDTF">2022-02-02T19:10:00Z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0x0101006E6FD9FD8C73314382928504F3A5AC9E</vt:lpwstr>
  </property>
  <property fmtid="{D5CDD505-2E9C-101B-9397-08002B2CF9AE}" pid="3" name="MSIP_Label_f56440b0-bb43-4d81-a621-bc28eeeaa1f1_Enabled">
    <vt:lpwstr>true</vt:lpwstr>
  </property>
  <property fmtid="{D5CDD505-2E9C-101B-9397-08002B2CF9AE}" pid="4" name="MSIP_Label_f56440b0-bb43-4d81-a621-bc28eeeaa1f1_SetDate">
    <vt:lpwstr>2022-02-02T15:10:48Z</vt:lpwstr>
  </property>
  <property fmtid="{D5CDD505-2E9C-101B-9397-08002B2CF9AE}" pid="5" name="MSIP_Label_f56440b0-bb43-4d81-a621-bc28eeeaa1f1_Method">
    <vt:lpwstr>Standard</vt:lpwstr>
  </property>
  <property fmtid="{D5CDD505-2E9C-101B-9397-08002B2CF9AE}" pid="6" name="MSIP_Label_f56440b0-bb43-4d81-a621-bc28eeeaa1f1_Name">
    <vt:lpwstr>f56440b0-bb43-4d81-a621-bc28eeeaa1f1</vt:lpwstr>
  </property>
  <property fmtid="{D5CDD505-2E9C-101B-9397-08002B2CF9AE}" pid="7" name="MSIP_Label_f56440b0-bb43-4d81-a621-bc28eeeaa1f1_SiteId">
    <vt:lpwstr>d49de431-8ec2-4627-95dc-a1b041bbab30</vt:lpwstr>
  </property>
  <property fmtid="{D5CDD505-2E9C-101B-9397-08002B2CF9AE}" pid="8" name="MSIP_Label_f56440b0-bb43-4d81-a621-bc28eeeaa1f1_ContentBits">
    <vt:lpwstr>0</vt:lpwstr>
  </property>
</Properties>
</file>