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91849" w14:textId="6F6EBFCB" w:rsidR="008E57ED" w:rsidRPr="00611AAD" w:rsidRDefault="008E57ED" w:rsidP="008E57ED">
      <w:pPr>
        <w:jc w:val="center"/>
        <w:rPr>
          <w:b/>
          <w:bCs/>
          <w:sz w:val="28"/>
          <w:szCs w:val="28"/>
        </w:rPr>
      </w:pPr>
      <w:bookmarkStart w:id="0" w:name="_Hlk93413429"/>
      <w:r w:rsidRPr="00611AAD">
        <w:rPr>
          <w:b/>
          <w:bCs/>
          <w:sz w:val="28"/>
          <w:szCs w:val="28"/>
        </w:rPr>
        <w:t xml:space="preserve">GEB SIGUE POR SENDA DE CRECIMIENTO: EN 2021 </w:t>
      </w:r>
      <w:r w:rsidR="00F707B1">
        <w:rPr>
          <w:b/>
          <w:bCs/>
          <w:sz w:val="28"/>
          <w:szCs w:val="28"/>
        </w:rPr>
        <w:t xml:space="preserve">ALCANZÓ </w:t>
      </w:r>
      <w:r w:rsidRPr="00611AAD">
        <w:rPr>
          <w:b/>
          <w:bCs/>
          <w:sz w:val="28"/>
          <w:szCs w:val="28"/>
        </w:rPr>
        <w:t>UTILIDADES POR $2</w:t>
      </w:r>
      <w:r w:rsidR="00AA7F43">
        <w:rPr>
          <w:b/>
          <w:bCs/>
          <w:sz w:val="28"/>
          <w:szCs w:val="28"/>
        </w:rPr>
        <w:t>,</w:t>
      </w:r>
      <w:r w:rsidR="00F707B1">
        <w:rPr>
          <w:b/>
          <w:bCs/>
          <w:sz w:val="28"/>
          <w:szCs w:val="28"/>
        </w:rPr>
        <w:t>52</w:t>
      </w:r>
      <w:r w:rsidR="00AA7F43">
        <w:rPr>
          <w:b/>
          <w:bCs/>
          <w:sz w:val="28"/>
          <w:szCs w:val="28"/>
        </w:rPr>
        <w:t xml:space="preserve"> B</w:t>
      </w:r>
      <w:r w:rsidR="00F707B1">
        <w:rPr>
          <w:b/>
          <w:bCs/>
          <w:sz w:val="28"/>
          <w:szCs w:val="28"/>
        </w:rPr>
        <w:t>ILLONES</w:t>
      </w:r>
    </w:p>
    <w:p w14:paraId="10E567E9" w14:textId="77777777" w:rsidR="008E57ED" w:rsidRDefault="008E57ED" w:rsidP="008E57ED"/>
    <w:p w14:paraId="4BD022BF" w14:textId="29BB3068" w:rsidR="008E57ED" w:rsidRPr="009355FB" w:rsidRDefault="008E57ED" w:rsidP="008E57ED">
      <w:pPr>
        <w:pStyle w:val="Prrafodelista"/>
        <w:numPr>
          <w:ilvl w:val="0"/>
          <w:numId w:val="20"/>
        </w:numPr>
        <w:spacing w:after="160" w:line="259" w:lineRule="auto"/>
        <w:rPr>
          <w:i/>
          <w:iCs/>
        </w:rPr>
      </w:pPr>
      <w:r w:rsidRPr="009355FB">
        <w:rPr>
          <w:i/>
          <w:iCs/>
        </w:rPr>
        <w:t xml:space="preserve">En la próxima asamblea de accionistas, la Junta Directiva de la multilatina propondrá un dividendo por acción de $192, 7,9% más respecto al </w:t>
      </w:r>
      <w:r w:rsidR="00EA581C" w:rsidRPr="00DF6826">
        <w:rPr>
          <w:i/>
          <w:iCs/>
        </w:rPr>
        <w:t>pagado</w:t>
      </w:r>
      <w:r w:rsidR="00EA581C">
        <w:rPr>
          <w:i/>
          <w:iCs/>
        </w:rPr>
        <w:t xml:space="preserve"> </w:t>
      </w:r>
      <w:r w:rsidRPr="009355FB">
        <w:rPr>
          <w:i/>
          <w:iCs/>
        </w:rPr>
        <w:t>sobre las utilidades de 2020.</w:t>
      </w:r>
    </w:p>
    <w:p w14:paraId="0AD1CFB5" w14:textId="77777777" w:rsidR="008E57ED" w:rsidRDefault="008E57ED" w:rsidP="008E57ED"/>
    <w:p w14:paraId="2E1A0FD2" w14:textId="64028486" w:rsidR="008E57ED" w:rsidRDefault="008E57ED" w:rsidP="00EA581C">
      <w:pPr>
        <w:jc w:val="both"/>
      </w:pPr>
      <w:r w:rsidRPr="009355FB">
        <w:rPr>
          <w:b/>
          <w:bCs/>
        </w:rPr>
        <w:t>Bogotá D.C., 25 de febrero de 2021.</w:t>
      </w:r>
      <w:r>
        <w:t xml:space="preserve"> En medio de la recuperación económica en la pandemia de la COVID-19, el Grupo Energía Bogotá (GEB) sigue mostrando positivos resultados que evidencian su sólido gobierno corporativo y su robusta estrategia de crecimiento: las utilidades </w:t>
      </w:r>
      <w:r w:rsidR="00F707B1">
        <w:t xml:space="preserve">netas </w:t>
      </w:r>
      <w:r>
        <w:t>de esta multilatina alcanzaron en 2021 los 2</w:t>
      </w:r>
      <w:r w:rsidR="00AA7F43">
        <w:t>,52</w:t>
      </w:r>
      <w:r w:rsidR="00F707B1">
        <w:t xml:space="preserve"> </w:t>
      </w:r>
      <w:r w:rsidR="00AA7F43">
        <w:t xml:space="preserve">billones </w:t>
      </w:r>
      <w:r>
        <w:t>de pesos.</w:t>
      </w:r>
      <w:r w:rsidR="00EA581C">
        <w:t xml:space="preserve"> </w:t>
      </w:r>
    </w:p>
    <w:p w14:paraId="4CAED4F9" w14:textId="77777777" w:rsidR="008E57ED" w:rsidRDefault="008E57ED" w:rsidP="00EA581C">
      <w:pPr>
        <w:jc w:val="both"/>
      </w:pPr>
    </w:p>
    <w:p w14:paraId="38DDC68D" w14:textId="11564BEA" w:rsidR="008E57ED" w:rsidRDefault="008E57ED" w:rsidP="00EA581C">
      <w:pPr>
        <w:jc w:val="both"/>
      </w:pPr>
      <w:r>
        <w:t xml:space="preserve">De acuerdo con las cifras que la Junta Directiva </w:t>
      </w:r>
      <w:r w:rsidR="00C7336C">
        <w:t xml:space="preserve">presentará </w:t>
      </w:r>
      <w:r>
        <w:t>a la asamblea general de accionistas, que se desarrollará el próximo 28 de marzo, quedarán a su disposición $1,76 billones sobre las utilidades del año pasado para ser distribuidos.</w:t>
      </w:r>
    </w:p>
    <w:p w14:paraId="62E2C4F1" w14:textId="77777777" w:rsidR="008E57ED" w:rsidRDefault="008E57ED" w:rsidP="00EA581C">
      <w:pPr>
        <w:jc w:val="both"/>
      </w:pPr>
    </w:p>
    <w:p w14:paraId="2F16F234" w14:textId="6A2D31F7" w:rsidR="008E57ED" w:rsidRDefault="008E57ED" w:rsidP="00EA581C">
      <w:pPr>
        <w:jc w:val="both"/>
      </w:pPr>
      <w:r>
        <w:t>Por estos resultados provechosos, y considerando la difícil coyuntura mundial, el GEB propondrá un dividendo por acción de $192, que representan 7,9 por ciento más que el de 2020 y 37,14% que el de 2019.</w:t>
      </w:r>
    </w:p>
    <w:p w14:paraId="0F79DD06" w14:textId="77777777" w:rsidR="008E57ED" w:rsidRDefault="008E57ED" w:rsidP="00EA581C">
      <w:pPr>
        <w:jc w:val="both"/>
      </w:pPr>
    </w:p>
    <w:p w14:paraId="1E568CB5" w14:textId="593E82E4" w:rsidR="008E57ED" w:rsidRDefault="008E57ED" w:rsidP="00EA581C">
      <w:pPr>
        <w:jc w:val="both"/>
      </w:pPr>
      <w:r>
        <w:t>El dividendo por acción que propondrá el GEB a la asamblea general corresponde a un ordinario por $158 y un extraordinario de $34</w:t>
      </w:r>
      <w:r w:rsidR="00C7336C">
        <w:t>.</w:t>
      </w:r>
    </w:p>
    <w:p w14:paraId="766A6FC7" w14:textId="77777777" w:rsidR="008E57ED" w:rsidRDefault="008E57ED" w:rsidP="00EA581C">
      <w:pPr>
        <w:jc w:val="both"/>
      </w:pPr>
    </w:p>
    <w:p w14:paraId="7960D118" w14:textId="6C4F153C" w:rsidR="008E57ED" w:rsidRDefault="008E57ED" w:rsidP="00EA581C">
      <w:pPr>
        <w:jc w:val="both"/>
      </w:pPr>
      <w:r>
        <w:t>El GEB, con más de 125 años de operación, es una compañía dedicada a la transmisión de energía eléctrica y transporte de gas en Colombia, Perú, Brasil y Guatemala a través de compañías propias o participadas; tiene más de 7,6 millones de clientes, 4.500 kilómetros de gasoductos y 15.500 kilómetros de líneas de transmisión.</w:t>
      </w:r>
    </w:p>
    <w:p w14:paraId="49BEBE21" w14:textId="77777777" w:rsidR="008E57ED" w:rsidRDefault="008E57ED" w:rsidP="00EA581C">
      <w:pPr>
        <w:jc w:val="both"/>
      </w:pPr>
    </w:p>
    <w:p w14:paraId="124281A7" w14:textId="0BBA6846" w:rsidR="008E57ED" w:rsidRDefault="008E57ED" w:rsidP="00EA581C">
      <w:pPr>
        <w:jc w:val="both"/>
      </w:pPr>
      <w:r w:rsidRPr="00DF6826">
        <w:t>La estrategia de crecimiento del GEB se basa en un sólido y transparente gobierno corporativo y una fuerte Política de Sostenibilidad, que le permi</w:t>
      </w:r>
      <w:r w:rsidR="00EA581C" w:rsidRPr="00DF6826">
        <w:t>t</w:t>
      </w:r>
      <w:r w:rsidRPr="00DF6826">
        <w:t xml:space="preserve">e </w:t>
      </w:r>
      <w:r w:rsidR="00EA581C" w:rsidRPr="00DF6826">
        <w:t xml:space="preserve">desarrollar su propósito superior de mejorar vidas </w:t>
      </w:r>
      <w:r w:rsidR="00C7336C" w:rsidRPr="00DF6826">
        <w:t>con energía sostenible y competitiva</w:t>
      </w:r>
      <w:r w:rsidR="00EA581C" w:rsidRPr="00DF6826">
        <w:t>, aportando</w:t>
      </w:r>
      <w:r w:rsidRPr="00DF6826">
        <w:t xml:space="preserve"> desarrollo a las comunidades y territorios donde tiene operación.</w:t>
      </w:r>
    </w:p>
    <w:p w14:paraId="3276EAEA" w14:textId="77777777" w:rsidR="00EA581C" w:rsidRDefault="00EA581C" w:rsidP="00EA581C">
      <w:pPr>
        <w:jc w:val="both"/>
      </w:pPr>
    </w:p>
    <w:p w14:paraId="1C74A7EE" w14:textId="5024AAD9" w:rsidR="008E57ED" w:rsidRDefault="008E57ED" w:rsidP="00EA581C">
      <w:pPr>
        <w:jc w:val="both"/>
      </w:pPr>
      <w:r>
        <w:t xml:space="preserve">Precisamente, a finales de año el GEB ingresó al Dow Jones Sustainability Index (DJSI), el índice de sostenibilidad más reconocido a nivel internacional y en el que las grandes empresas del mundo quieren ser incluidos. En él consiguió la más alta calificación desde la primera participación en 2011 y se ubicó en el primer lugar en América de la industria de </w:t>
      </w:r>
      <w:r w:rsidRPr="00611AAD">
        <w:rPr>
          <w:i/>
          <w:iCs/>
        </w:rPr>
        <w:t>gas &amp; utilities</w:t>
      </w:r>
      <w:r>
        <w:t xml:space="preserve"> y el cuarto a nivel mundial, fue incluido en el DJSI de Mercados Emergentes y el del MILA (Mercado Integrado Latinoamericano). </w:t>
      </w:r>
    </w:p>
    <w:p w14:paraId="425B1B25" w14:textId="77777777" w:rsidR="008E57ED" w:rsidRPr="00D62127" w:rsidRDefault="008E57ED" w:rsidP="00EA581C">
      <w:pPr>
        <w:jc w:val="both"/>
      </w:pPr>
    </w:p>
    <w:p w14:paraId="615B4567" w14:textId="77777777" w:rsidR="00FD5280" w:rsidRDefault="00FD5280" w:rsidP="00EA581C">
      <w:pPr>
        <w:spacing w:after="160" w:line="259" w:lineRule="auto"/>
        <w:jc w:val="both"/>
        <w:rPr>
          <w:b/>
          <w:bCs/>
          <w:i/>
          <w:iCs/>
        </w:rPr>
      </w:pPr>
    </w:p>
    <w:p w14:paraId="15DCD15E" w14:textId="5358BF9D" w:rsidR="006E1AD1" w:rsidRDefault="006E1AD1" w:rsidP="00EA581C">
      <w:pPr>
        <w:spacing w:line="259" w:lineRule="auto"/>
        <w:jc w:val="both"/>
        <w:rPr>
          <w:b/>
          <w:bCs/>
          <w:i/>
          <w:iCs/>
        </w:rPr>
      </w:pPr>
    </w:p>
    <w:p w14:paraId="5B633FAC" w14:textId="77777777" w:rsidR="00FD5280" w:rsidRPr="00FD5280" w:rsidRDefault="00FD5280" w:rsidP="00EA581C">
      <w:pPr>
        <w:pStyle w:val="NormalWeb"/>
        <w:shd w:val="clear" w:color="auto" w:fill="F6FAEC"/>
        <w:spacing w:before="0" w:beforeAutospacing="0" w:after="0" w:afterAutospacing="0"/>
        <w:jc w:val="both"/>
        <w:textAlignment w:val="baseline"/>
        <w:rPr>
          <w:rFonts w:asciiTheme="minorHAnsi" w:eastAsiaTheme="minorEastAsia" w:hAnsiTheme="minorHAnsi" w:cstheme="minorBidi"/>
          <w:b/>
          <w:bCs/>
          <w:sz w:val="20"/>
          <w:szCs w:val="20"/>
          <w:lang w:val="es-MX" w:eastAsia="es-ES"/>
        </w:rPr>
      </w:pPr>
      <w:r w:rsidRPr="00FD5280">
        <w:rPr>
          <w:rFonts w:asciiTheme="minorHAnsi" w:eastAsiaTheme="minorEastAsia" w:hAnsiTheme="minorHAnsi" w:cstheme="minorBidi"/>
          <w:b/>
          <w:bCs/>
          <w:sz w:val="20"/>
          <w:szCs w:val="20"/>
          <w:lang w:val="es-MX" w:eastAsia="es-ES"/>
        </w:rPr>
        <w:t>Acerca del Grupo Energía Bogotá </w:t>
      </w:r>
    </w:p>
    <w:p w14:paraId="1F4DFD30" w14:textId="5EF0EA8E" w:rsidR="00FD5280" w:rsidRPr="00FD5280" w:rsidRDefault="00FD5280" w:rsidP="00EA581C">
      <w:pPr>
        <w:pStyle w:val="NormalWeb"/>
        <w:shd w:val="clear" w:color="auto" w:fill="F6FAEC"/>
        <w:spacing w:before="0" w:beforeAutospacing="0" w:after="0" w:afterAutospacing="0"/>
        <w:jc w:val="both"/>
        <w:textAlignment w:val="baseline"/>
        <w:rPr>
          <w:rFonts w:asciiTheme="minorHAnsi" w:eastAsiaTheme="minorEastAsia" w:hAnsiTheme="minorHAnsi" w:cstheme="minorBidi"/>
          <w:b/>
          <w:bCs/>
          <w:sz w:val="20"/>
          <w:szCs w:val="20"/>
          <w:lang w:val="es-MX" w:eastAsia="es-ES"/>
        </w:rPr>
      </w:pPr>
      <w:r w:rsidRPr="00FD5280">
        <w:rPr>
          <w:rFonts w:asciiTheme="minorHAnsi" w:eastAsiaTheme="minorEastAsia" w:hAnsiTheme="minorHAnsi" w:cstheme="minorBidi"/>
          <w:sz w:val="20"/>
          <w:szCs w:val="20"/>
          <w:lang w:val="es-MX" w:eastAsia="es-ES"/>
        </w:rPr>
        <w:t xml:space="preserve">Con más de 125 años de historia, el Grupo Energía Bogotá (GEB) es un grupo empresarial líder en transmisión y distribución de energía eléctrica y en transporte y distribución de gas natural en Colombia, Perú, Brasil y Guatemala. En Colombia, con Transmisión desarrolla proyectos de energía eléctrica. Con TGI es número uno en transporte de gas natural con más de 4.000 kilómetros de gasoductos. En Perú es número uno en distribución de gas natural con sus empresas Cálidda y Contugas y tiene presencia en distribución de energía con Electro Dunas. En Brasil tiene presencia con </w:t>
      </w:r>
      <w:proofErr w:type="spellStart"/>
      <w:r w:rsidRPr="00FD5280">
        <w:rPr>
          <w:rFonts w:asciiTheme="minorHAnsi" w:eastAsiaTheme="minorEastAsia" w:hAnsiTheme="minorHAnsi" w:cstheme="minorBidi"/>
          <w:sz w:val="20"/>
          <w:szCs w:val="20"/>
          <w:lang w:val="es-MX" w:eastAsia="es-ES"/>
        </w:rPr>
        <w:t>Gebbras</w:t>
      </w:r>
      <w:proofErr w:type="spellEnd"/>
      <w:r w:rsidRPr="00FD5280">
        <w:rPr>
          <w:rFonts w:asciiTheme="minorHAnsi" w:eastAsiaTheme="minorEastAsia" w:hAnsiTheme="minorHAnsi" w:cstheme="minorBidi"/>
          <w:sz w:val="20"/>
          <w:szCs w:val="20"/>
          <w:lang w:val="es-MX" w:eastAsia="es-ES"/>
        </w:rPr>
        <w:t xml:space="preserve"> y </w:t>
      </w:r>
      <w:proofErr w:type="spellStart"/>
      <w:r w:rsidRPr="00FD5280">
        <w:rPr>
          <w:rFonts w:asciiTheme="minorHAnsi" w:eastAsiaTheme="minorEastAsia" w:hAnsiTheme="minorHAnsi" w:cstheme="minorBidi"/>
          <w:sz w:val="20"/>
          <w:szCs w:val="20"/>
          <w:lang w:val="es-MX" w:eastAsia="es-ES"/>
        </w:rPr>
        <w:t>Argo</w:t>
      </w:r>
      <w:proofErr w:type="spellEnd"/>
      <w:r w:rsidRPr="00FD5280">
        <w:rPr>
          <w:rFonts w:asciiTheme="minorHAnsi" w:eastAsiaTheme="minorEastAsia" w:hAnsiTheme="minorHAnsi" w:cstheme="minorBidi"/>
          <w:sz w:val="20"/>
          <w:szCs w:val="20"/>
          <w:lang w:val="es-MX" w:eastAsia="es-ES"/>
        </w:rPr>
        <w:t xml:space="preserve"> y en Guatemala es número uno en transmisión de energía eléctrica con Trecsa y </w:t>
      </w:r>
      <w:proofErr w:type="spellStart"/>
      <w:r w:rsidRPr="00FD5280">
        <w:rPr>
          <w:rFonts w:asciiTheme="minorHAnsi" w:eastAsiaTheme="minorEastAsia" w:hAnsiTheme="minorHAnsi" w:cstheme="minorBidi"/>
          <w:sz w:val="20"/>
          <w:szCs w:val="20"/>
          <w:lang w:val="es-MX" w:eastAsia="es-ES"/>
        </w:rPr>
        <w:t>Eebis</w:t>
      </w:r>
      <w:proofErr w:type="spellEnd"/>
      <w:r w:rsidRPr="00FD5280">
        <w:rPr>
          <w:rFonts w:asciiTheme="minorHAnsi" w:eastAsiaTheme="minorEastAsia" w:hAnsiTheme="minorHAnsi" w:cstheme="minorBidi"/>
          <w:sz w:val="20"/>
          <w:szCs w:val="20"/>
          <w:lang w:val="es-MX" w:eastAsia="es-ES"/>
        </w:rPr>
        <w:t>.</w:t>
      </w:r>
    </w:p>
    <w:p w14:paraId="0EBBDA48" w14:textId="77777777" w:rsidR="006E1AD1" w:rsidRPr="00FD5280" w:rsidRDefault="006E1AD1" w:rsidP="00EA581C">
      <w:pPr>
        <w:spacing w:after="160" w:line="259" w:lineRule="auto"/>
        <w:jc w:val="both"/>
        <w:rPr>
          <w:b/>
          <w:bCs/>
          <w:i/>
          <w:iCs/>
          <w:sz w:val="20"/>
          <w:szCs w:val="20"/>
        </w:rPr>
      </w:pPr>
    </w:p>
    <w:bookmarkEnd w:id="0"/>
    <w:p w14:paraId="52E8BC9E" w14:textId="18CE28FA" w:rsidR="00BF4E00" w:rsidRPr="00E50000" w:rsidRDefault="00BF4E00" w:rsidP="00EA581C">
      <w:pPr>
        <w:jc w:val="both"/>
        <w:rPr>
          <w:rFonts w:cstheme="minorHAnsi"/>
          <w:sz w:val="28"/>
          <w:szCs w:val="28"/>
        </w:rPr>
      </w:pPr>
    </w:p>
    <w:sectPr w:rsidR="00BF4E00" w:rsidRPr="00E50000" w:rsidSect="00B273BC">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551FB" w14:textId="77777777" w:rsidR="00604789" w:rsidRDefault="00604789" w:rsidP="00AC10BB">
      <w:r>
        <w:separator/>
      </w:r>
    </w:p>
  </w:endnote>
  <w:endnote w:type="continuationSeparator" w:id="0">
    <w:p w14:paraId="2EE57E4A" w14:textId="77777777" w:rsidR="00604789" w:rsidRDefault="00604789" w:rsidP="00AC1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020BF" w14:textId="348ACED0" w:rsidR="00AC10BB" w:rsidRDefault="00874DCE">
    <w:pPr>
      <w:pStyle w:val="Piedepgina"/>
    </w:pPr>
    <w:r>
      <w:rPr>
        <w:noProof/>
        <w:lang w:eastAsia="es-ES_tradnl"/>
      </w:rPr>
      <w:drawing>
        <wp:anchor distT="0" distB="0" distL="114300" distR="114300" simplePos="0" relativeHeight="251660288" behindDoc="0" locked="0" layoutInCell="1" allowOverlap="1" wp14:anchorId="0A17EAF4" wp14:editId="53D8FB46">
          <wp:simplePos x="0" y="0"/>
          <wp:positionH relativeFrom="page">
            <wp:align>left</wp:align>
          </wp:positionH>
          <wp:positionV relativeFrom="paragraph">
            <wp:posOffset>-283210</wp:posOffset>
          </wp:positionV>
          <wp:extent cx="8132334" cy="818938"/>
          <wp:effectExtent l="0" t="0" r="2540" b="63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 para word.png"/>
                  <pic:cNvPicPr/>
                </pic:nvPicPr>
                <pic:blipFill>
                  <a:blip r:embed="rId1">
                    <a:extLst>
                      <a:ext uri="{28A0092B-C50C-407E-A947-70E740481C1C}">
                        <a14:useLocalDpi xmlns:a14="http://schemas.microsoft.com/office/drawing/2010/main" val="0"/>
                      </a:ext>
                    </a:extLst>
                  </a:blip>
                  <a:stretch>
                    <a:fillRect/>
                  </a:stretch>
                </pic:blipFill>
                <pic:spPr>
                  <a:xfrm>
                    <a:off x="0" y="0"/>
                    <a:ext cx="8132334" cy="81893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B94C7" w14:textId="77777777" w:rsidR="00604789" w:rsidRDefault="00604789" w:rsidP="00AC10BB">
      <w:r>
        <w:separator/>
      </w:r>
    </w:p>
  </w:footnote>
  <w:footnote w:type="continuationSeparator" w:id="0">
    <w:p w14:paraId="5A5D3239" w14:textId="77777777" w:rsidR="00604789" w:rsidRDefault="00604789" w:rsidP="00AC1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AA544" w14:textId="4C2CE19F" w:rsidR="00AC10BB" w:rsidRDefault="00C9267D">
    <w:pPr>
      <w:pStyle w:val="Encabezado"/>
    </w:pPr>
    <w:r>
      <w:rPr>
        <w:noProof/>
        <w:lang w:eastAsia="es-ES_tradnl"/>
      </w:rPr>
      <w:drawing>
        <wp:anchor distT="0" distB="0" distL="114300" distR="114300" simplePos="0" relativeHeight="251659264" behindDoc="0" locked="0" layoutInCell="1" allowOverlap="1" wp14:anchorId="4015A094" wp14:editId="3B25DFFC">
          <wp:simplePos x="0" y="0"/>
          <wp:positionH relativeFrom="column">
            <wp:posOffset>1760220</wp:posOffset>
          </wp:positionH>
          <wp:positionV relativeFrom="paragraph">
            <wp:posOffset>-116840</wp:posOffset>
          </wp:positionV>
          <wp:extent cx="2239694" cy="553122"/>
          <wp:effectExtent l="0" t="0" r="0" b="571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GEB Cabezote _formato carta.png"/>
                  <pic:cNvPicPr/>
                </pic:nvPicPr>
                <pic:blipFill>
                  <a:blip r:embed="rId1">
                    <a:extLst>
                      <a:ext uri="{28A0092B-C50C-407E-A947-70E740481C1C}">
                        <a14:useLocalDpi xmlns:a14="http://schemas.microsoft.com/office/drawing/2010/main" val="0"/>
                      </a:ext>
                    </a:extLst>
                  </a:blip>
                  <a:stretch>
                    <a:fillRect/>
                  </a:stretch>
                </pic:blipFill>
                <pic:spPr>
                  <a:xfrm>
                    <a:off x="0" y="0"/>
                    <a:ext cx="2239694" cy="55312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61E4"/>
    <w:multiLevelType w:val="hybridMultilevel"/>
    <w:tmpl w:val="57D027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6870C4"/>
    <w:multiLevelType w:val="hybridMultilevel"/>
    <w:tmpl w:val="1AB602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CC0661C"/>
    <w:multiLevelType w:val="hybridMultilevel"/>
    <w:tmpl w:val="3FF28CF6"/>
    <w:lvl w:ilvl="0" w:tplc="2C3C48A4">
      <w:numFmt w:val="bullet"/>
      <w:lvlText w:val="-"/>
      <w:lvlJc w:val="left"/>
      <w:pPr>
        <w:ind w:left="720" w:hanging="360"/>
      </w:pPr>
      <w:rPr>
        <w:rFonts w:ascii="Calibri" w:eastAsiaTheme="minorEastAsia" w:hAnsi="Calibri" w:cs="Calibri" w:hint="default"/>
        <w:u w:val="none"/>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38F1212"/>
    <w:multiLevelType w:val="hybridMultilevel"/>
    <w:tmpl w:val="DABE67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C435CD4"/>
    <w:multiLevelType w:val="hybridMultilevel"/>
    <w:tmpl w:val="14AC64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0F347F1"/>
    <w:multiLevelType w:val="hybridMultilevel"/>
    <w:tmpl w:val="888280E4"/>
    <w:lvl w:ilvl="0" w:tplc="16949D28">
      <w:start w:val="1"/>
      <w:numFmt w:val="bullet"/>
      <w:lvlText w:val="-"/>
      <w:lvlJc w:val="left"/>
      <w:pPr>
        <w:ind w:left="1080" w:hanging="360"/>
      </w:pPr>
      <w:rPr>
        <w:rFonts w:ascii="Calibri" w:eastAsiaTheme="minorEastAsia"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2AB22EF0"/>
    <w:multiLevelType w:val="hybridMultilevel"/>
    <w:tmpl w:val="D5A81E10"/>
    <w:lvl w:ilvl="0" w:tplc="280A000D">
      <w:start w:val="1"/>
      <w:numFmt w:val="bullet"/>
      <w:lvlText w:val=""/>
      <w:lvlJc w:val="left"/>
      <w:pPr>
        <w:ind w:left="1080" w:hanging="360"/>
      </w:pPr>
      <w:rPr>
        <w:rFonts w:ascii="Wingdings" w:hAnsi="Wingdings" w:hint="default"/>
      </w:rPr>
    </w:lvl>
    <w:lvl w:ilvl="1" w:tplc="280A0003">
      <w:start w:val="1"/>
      <w:numFmt w:val="bullet"/>
      <w:lvlText w:val="o"/>
      <w:lvlJc w:val="left"/>
      <w:pPr>
        <w:ind w:left="1800" w:hanging="360"/>
      </w:pPr>
      <w:rPr>
        <w:rFonts w:ascii="Courier New" w:hAnsi="Courier New" w:cs="Courier New" w:hint="default"/>
      </w:rPr>
    </w:lvl>
    <w:lvl w:ilvl="2" w:tplc="280A0005">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start w:val="1"/>
      <w:numFmt w:val="bullet"/>
      <w:lvlText w:val="o"/>
      <w:lvlJc w:val="left"/>
      <w:pPr>
        <w:ind w:left="3960" w:hanging="360"/>
      </w:pPr>
      <w:rPr>
        <w:rFonts w:ascii="Courier New" w:hAnsi="Courier New" w:cs="Courier New" w:hint="default"/>
      </w:rPr>
    </w:lvl>
    <w:lvl w:ilvl="5" w:tplc="280A0005">
      <w:start w:val="1"/>
      <w:numFmt w:val="bullet"/>
      <w:lvlText w:val=""/>
      <w:lvlJc w:val="left"/>
      <w:pPr>
        <w:ind w:left="4680" w:hanging="360"/>
      </w:pPr>
      <w:rPr>
        <w:rFonts w:ascii="Wingdings" w:hAnsi="Wingdings" w:hint="default"/>
      </w:rPr>
    </w:lvl>
    <w:lvl w:ilvl="6" w:tplc="280A0001">
      <w:start w:val="1"/>
      <w:numFmt w:val="bullet"/>
      <w:lvlText w:val=""/>
      <w:lvlJc w:val="left"/>
      <w:pPr>
        <w:ind w:left="5400" w:hanging="360"/>
      </w:pPr>
      <w:rPr>
        <w:rFonts w:ascii="Symbol" w:hAnsi="Symbol" w:hint="default"/>
      </w:rPr>
    </w:lvl>
    <w:lvl w:ilvl="7" w:tplc="280A0003">
      <w:start w:val="1"/>
      <w:numFmt w:val="bullet"/>
      <w:lvlText w:val="o"/>
      <w:lvlJc w:val="left"/>
      <w:pPr>
        <w:ind w:left="6120" w:hanging="360"/>
      </w:pPr>
      <w:rPr>
        <w:rFonts w:ascii="Courier New" w:hAnsi="Courier New" w:cs="Courier New" w:hint="default"/>
      </w:rPr>
    </w:lvl>
    <w:lvl w:ilvl="8" w:tplc="280A0005">
      <w:start w:val="1"/>
      <w:numFmt w:val="bullet"/>
      <w:lvlText w:val=""/>
      <w:lvlJc w:val="left"/>
      <w:pPr>
        <w:ind w:left="6840" w:hanging="360"/>
      </w:pPr>
      <w:rPr>
        <w:rFonts w:ascii="Wingdings" w:hAnsi="Wingdings" w:hint="default"/>
      </w:rPr>
    </w:lvl>
  </w:abstractNum>
  <w:abstractNum w:abstractNumId="7" w15:restartNumberingAfterBreak="0">
    <w:nsid w:val="2E3D0AC2"/>
    <w:multiLevelType w:val="hybridMultilevel"/>
    <w:tmpl w:val="D2405C92"/>
    <w:lvl w:ilvl="0" w:tplc="DD0483C4">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4CE721B"/>
    <w:multiLevelType w:val="hybridMultilevel"/>
    <w:tmpl w:val="903A8D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96B09D2"/>
    <w:multiLevelType w:val="hybridMultilevel"/>
    <w:tmpl w:val="E80A52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D134C97"/>
    <w:multiLevelType w:val="hybridMultilevel"/>
    <w:tmpl w:val="0D9EE8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4302D4E"/>
    <w:multiLevelType w:val="hybridMultilevel"/>
    <w:tmpl w:val="A754CF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C1C1203"/>
    <w:multiLevelType w:val="hybridMultilevel"/>
    <w:tmpl w:val="59F448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4307577"/>
    <w:multiLevelType w:val="hybridMultilevel"/>
    <w:tmpl w:val="5EF6897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60765E2"/>
    <w:multiLevelType w:val="hybridMultilevel"/>
    <w:tmpl w:val="C6621A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F990932"/>
    <w:multiLevelType w:val="hybridMultilevel"/>
    <w:tmpl w:val="DFC059A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6" w15:restartNumberingAfterBreak="0">
    <w:nsid w:val="704D1490"/>
    <w:multiLevelType w:val="hybridMultilevel"/>
    <w:tmpl w:val="F98CF4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93F3D15"/>
    <w:multiLevelType w:val="hybridMultilevel"/>
    <w:tmpl w:val="0E10C678"/>
    <w:lvl w:ilvl="0" w:tplc="6E10FBDE">
      <w:start w:val="1"/>
      <w:numFmt w:val="decimal"/>
      <w:lvlText w:val="%1."/>
      <w:lvlJc w:val="left"/>
      <w:pPr>
        <w:tabs>
          <w:tab w:val="num" w:pos="720"/>
        </w:tabs>
        <w:ind w:left="720" w:hanging="360"/>
      </w:pPr>
    </w:lvl>
    <w:lvl w:ilvl="1" w:tplc="1E62EB96" w:tentative="1">
      <w:start w:val="1"/>
      <w:numFmt w:val="decimal"/>
      <w:lvlText w:val="%2."/>
      <w:lvlJc w:val="left"/>
      <w:pPr>
        <w:tabs>
          <w:tab w:val="num" w:pos="1440"/>
        </w:tabs>
        <w:ind w:left="1440" w:hanging="360"/>
      </w:pPr>
    </w:lvl>
    <w:lvl w:ilvl="2" w:tplc="5D366990" w:tentative="1">
      <w:start w:val="1"/>
      <w:numFmt w:val="decimal"/>
      <w:lvlText w:val="%3."/>
      <w:lvlJc w:val="left"/>
      <w:pPr>
        <w:tabs>
          <w:tab w:val="num" w:pos="2160"/>
        </w:tabs>
        <w:ind w:left="2160" w:hanging="360"/>
      </w:pPr>
    </w:lvl>
    <w:lvl w:ilvl="3" w:tplc="1E504776" w:tentative="1">
      <w:start w:val="1"/>
      <w:numFmt w:val="decimal"/>
      <w:lvlText w:val="%4."/>
      <w:lvlJc w:val="left"/>
      <w:pPr>
        <w:tabs>
          <w:tab w:val="num" w:pos="2880"/>
        </w:tabs>
        <w:ind w:left="2880" w:hanging="360"/>
      </w:pPr>
    </w:lvl>
    <w:lvl w:ilvl="4" w:tplc="D9E26972" w:tentative="1">
      <w:start w:val="1"/>
      <w:numFmt w:val="decimal"/>
      <w:lvlText w:val="%5."/>
      <w:lvlJc w:val="left"/>
      <w:pPr>
        <w:tabs>
          <w:tab w:val="num" w:pos="3600"/>
        </w:tabs>
        <w:ind w:left="3600" w:hanging="360"/>
      </w:pPr>
    </w:lvl>
    <w:lvl w:ilvl="5" w:tplc="A176C59C" w:tentative="1">
      <w:start w:val="1"/>
      <w:numFmt w:val="decimal"/>
      <w:lvlText w:val="%6."/>
      <w:lvlJc w:val="left"/>
      <w:pPr>
        <w:tabs>
          <w:tab w:val="num" w:pos="4320"/>
        </w:tabs>
        <w:ind w:left="4320" w:hanging="360"/>
      </w:pPr>
    </w:lvl>
    <w:lvl w:ilvl="6" w:tplc="9BAA3B32" w:tentative="1">
      <w:start w:val="1"/>
      <w:numFmt w:val="decimal"/>
      <w:lvlText w:val="%7."/>
      <w:lvlJc w:val="left"/>
      <w:pPr>
        <w:tabs>
          <w:tab w:val="num" w:pos="5040"/>
        </w:tabs>
        <w:ind w:left="5040" w:hanging="360"/>
      </w:pPr>
    </w:lvl>
    <w:lvl w:ilvl="7" w:tplc="76F62A7C" w:tentative="1">
      <w:start w:val="1"/>
      <w:numFmt w:val="decimal"/>
      <w:lvlText w:val="%8."/>
      <w:lvlJc w:val="left"/>
      <w:pPr>
        <w:tabs>
          <w:tab w:val="num" w:pos="5760"/>
        </w:tabs>
        <w:ind w:left="5760" w:hanging="360"/>
      </w:pPr>
    </w:lvl>
    <w:lvl w:ilvl="8" w:tplc="461ABADC" w:tentative="1">
      <w:start w:val="1"/>
      <w:numFmt w:val="decimal"/>
      <w:lvlText w:val="%9."/>
      <w:lvlJc w:val="left"/>
      <w:pPr>
        <w:tabs>
          <w:tab w:val="num" w:pos="6480"/>
        </w:tabs>
        <w:ind w:left="6480" w:hanging="360"/>
      </w:pPr>
    </w:lvl>
  </w:abstractNum>
  <w:abstractNum w:abstractNumId="18" w15:restartNumberingAfterBreak="0">
    <w:nsid w:val="7F0E7FCA"/>
    <w:multiLevelType w:val="hybridMultilevel"/>
    <w:tmpl w:val="6750C54E"/>
    <w:lvl w:ilvl="0" w:tplc="240A0001">
      <w:start w:val="1"/>
      <w:numFmt w:val="bullet"/>
      <w:lvlText w:val=""/>
      <w:lvlJc w:val="left"/>
      <w:pPr>
        <w:ind w:left="1065" w:hanging="7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F8B4F82"/>
    <w:multiLevelType w:val="hybridMultilevel"/>
    <w:tmpl w:val="E6920B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6"/>
  </w:num>
  <w:num w:numId="4">
    <w:abstractNumId w:val="13"/>
  </w:num>
  <w:num w:numId="5">
    <w:abstractNumId w:val="7"/>
  </w:num>
  <w:num w:numId="6">
    <w:abstractNumId w:val="1"/>
  </w:num>
  <w:num w:numId="7">
    <w:abstractNumId w:val="5"/>
  </w:num>
  <w:num w:numId="8">
    <w:abstractNumId w:val="18"/>
  </w:num>
  <w:num w:numId="9">
    <w:abstractNumId w:val="9"/>
  </w:num>
  <w:num w:numId="10">
    <w:abstractNumId w:val="11"/>
  </w:num>
  <w:num w:numId="11">
    <w:abstractNumId w:val="8"/>
  </w:num>
  <w:num w:numId="12">
    <w:abstractNumId w:val="12"/>
  </w:num>
  <w:num w:numId="13">
    <w:abstractNumId w:val="16"/>
  </w:num>
  <w:num w:numId="14">
    <w:abstractNumId w:val="19"/>
  </w:num>
  <w:num w:numId="15">
    <w:abstractNumId w:val="0"/>
  </w:num>
  <w:num w:numId="16">
    <w:abstractNumId w:val="14"/>
  </w:num>
  <w:num w:numId="17">
    <w:abstractNumId w:val="2"/>
  </w:num>
  <w:num w:numId="18">
    <w:abstractNumId w:val="10"/>
  </w:num>
  <w:num w:numId="19">
    <w:abstractNumId w:val="1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0BB"/>
    <w:rsid w:val="00010CB7"/>
    <w:rsid w:val="00043B3C"/>
    <w:rsid w:val="000455A4"/>
    <w:rsid w:val="00046CDA"/>
    <w:rsid w:val="00047281"/>
    <w:rsid w:val="00050074"/>
    <w:rsid w:val="000523CD"/>
    <w:rsid w:val="00065326"/>
    <w:rsid w:val="00065B2D"/>
    <w:rsid w:val="00076A5B"/>
    <w:rsid w:val="000A3615"/>
    <w:rsid w:val="000A79F8"/>
    <w:rsid w:val="000C066E"/>
    <w:rsid w:val="000C4A77"/>
    <w:rsid w:val="000D7EDE"/>
    <w:rsid w:val="000F30D1"/>
    <w:rsid w:val="00111267"/>
    <w:rsid w:val="00114495"/>
    <w:rsid w:val="00122661"/>
    <w:rsid w:val="0013507A"/>
    <w:rsid w:val="0015149F"/>
    <w:rsid w:val="00172A20"/>
    <w:rsid w:val="0018668E"/>
    <w:rsid w:val="001A0780"/>
    <w:rsid w:val="001A254C"/>
    <w:rsid w:val="001B6000"/>
    <w:rsid w:val="001C4A06"/>
    <w:rsid w:val="001C4B2E"/>
    <w:rsid w:val="001C71B1"/>
    <w:rsid w:val="001D28A2"/>
    <w:rsid w:val="001D423E"/>
    <w:rsid w:val="001D4DC8"/>
    <w:rsid w:val="001D7477"/>
    <w:rsid w:val="001E0ACE"/>
    <w:rsid w:val="001E47E4"/>
    <w:rsid w:val="001E559D"/>
    <w:rsid w:val="002020B5"/>
    <w:rsid w:val="00202DDD"/>
    <w:rsid w:val="002268B2"/>
    <w:rsid w:val="002510EB"/>
    <w:rsid w:val="002631F1"/>
    <w:rsid w:val="00267A71"/>
    <w:rsid w:val="00270AA1"/>
    <w:rsid w:val="00274A16"/>
    <w:rsid w:val="00280155"/>
    <w:rsid w:val="002A5495"/>
    <w:rsid w:val="002A7421"/>
    <w:rsid w:val="002D1C2E"/>
    <w:rsid w:val="002E3980"/>
    <w:rsid w:val="002F1294"/>
    <w:rsid w:val="002F359C"/>
    <w:rsid w:val="002F5B95"/>
    <w:rsid w:val="00304AB3"/>
    <w:rsid w:val="00323308"/>
    <w:rsid w:val="0033086C"/>
    <w:rsid w:val="00355040"/>
    <w:rsid w:val="00362D46"/>
    <w:rsid w:val="003641F4"/>
    <w:rsid w:val="00370CC2"/>
    <w:rsid w:val="0039359A"/>
    <w:rsid w:val="003966BB"/>
    <w:rsid w:val="003A2E0B"/>
    <w:rsid w:val="003A5BC6"/>
    <w:rsid w:val="003A71AE"/>
    <w:rsid w:val="003B74B9"/>
    <w:rsid w:val="003C34DD"/>
    <w:rsid w:val="003F342C"/>
    <w:rsid w:val="004011B6"/>
    <w:rsid w:val="00405B36"/>
    <w:rsid w:val="004149B4"/>
    <w:rsid w:val="00414B1B"/>
    <w:rsid w:val="00425E4A"/>
    <w:rsid w:val="00426B00"/>
    <w:rsid w:val="00455B97"/>
    <w:rsid w:val="004567FC"/>
    <w:rsid w:val="00465AD7"/>
    <w:rsid w:val="00467EAB"/>
    <w:rsid w:val="004C31F9"/>
    <w:rsid w:val="004C6DBA"/>
    <w:rsid w:val="004D2FCB"/>
    <w:rsid w:val="004F112B"/>
    <w:rsid w:val="005108C6"/>
    <w:rsid w:val="00512C65"/>
    <w:rsid w:val="00532AD5"/>
    <w:rsid w:val="0054061B"/>
    <w:rsid w:val="00541BA3"/>
    <w:rsid w:val="0056223A"/>
    <w:rsid w:val="00597C86"/>
    <w:rsid w:val="005B1318"/>
    <w:rsid w:val="005B1EC3"/>
    <w:rsid w:val="005B3C67"/>
    <w:rsid w:val="005D2AA2"/>
    <w:rsid w:val="00604789"/>
    <w:rsid w:val="0061309A"/>
    <w:rsid w:val="00627887"/>
    <w:rsid w:val="006353C7"/>
    <w:rsid w:val="00650AE1"/>
    <w:rsid w:val="00653440"/>
    <w:rsid w:val="0066017C"/>
    <w:rsid w:val="00661DB3"/>
    <w:rsid w:val="006637E6"/>
    <w:rsid w:val="00663AF0"/>
    <w:rsid w:val="00672389"/>
    <w:rsid w:val="00674ECB"/>
    <w:rsid w:val="006B33A4"/>
    <w:rsid w:val="006B626C"/>
    <w:rsid w:val="006C5294"/>
    <w:rsid w:val="006D4D38"/>
    <w:rsid w:val="006D551E"/>
    <w:rsid w:val="006E1AD1"/>
    <w:rsid w:val="006E2296"/>
    <w:rsid w:val="006E26CA"/>
    <w:rsid w:val="0071342D"/>
    <w:rsid w:val="007142F7"/>
    <w:rsid w:val="007148B4"/>
    <w:rsid w:val="007233FC"/>
    <w:rsid w:val="007304CB"/>
    <w:rsid w:val="00731BF7"/>
    <w:rsid w:val="0073226F"/>
    <w:rsid w:val="007452E0"/>
    <w:rsid w:val="00747D04"/>
    <w:rsid w:val="00761636"/>
    <w:rsid w:val="00765803"/>
    <w:rsid w:val="00770C72"/>
    <w:rsid w:val="00773631"/>
    <w:rsid w:val="007764FB"/>
    <w:rsid w:val="007937CF"/>
    <w:rsid w:val="007A3DF6"/>
    <w:rsid w:val="007B0189"/>
    <w:rsid w:val="007C4B2B"/>
    <w:rsid w:val="007D1211"/>
    <w:rsid w:val="007D3A6C"/>
    <w:rsid w:val="007F190B"/>
    <w:rsid w:val="007F2BDD"/>
    <w:rsid w:val="007F3805"/>
    <w:rsid w:val="00802196"/>
    <w:rsid w:val="00810D12"/>
    <w:rsid w:val="00824095"/>
    <w:rsid w:val="00842F8F"/>
    <w:rsid w:val="00843418"/>
    <w:rsid w:val="008667CB"/>
    <w:rsid w:val="008725CA"/>
    <w:rsid w:val="008726F9"/>
    <w:rsid w:val="00874DCE"/>
    <w:rsid w:val="0089440F"/>
    <w:rsid w:val="008A3C10"/>
    <w:rsid w:val="008B0242"/>
    <w:rsid w:val="008B769A"/>
    <w:rsid w:val="008B7971"/>
    <w:rsid w:val="008D0302"/>
    <w:rsid w:val="008E536B"/>
    <w:rsid w:val="008E57ED"/>
    <w:rsid w:val="008E5FA0"/>
    <w:rsid w:val="008E72BD"/>
    <w:rsid w:val="008F119D"/>
    <w:rsid w:val="008F5B1A"/>
    <w:rsid w:val="0091785E"/>
    <w:rsid w:val="00924819"/>
    <w:rsid w:val="00934307"/>
    <w:rsid w:val="00944386"/>
    <w:rsid w:val="009608E0"/>
    <w:rsid w:val="009627CA"/>
    <w:rsid w:val="0097198E"/>
    <w:rsid w:val="00974FDD"/>
    <w:rsid w:val="00987F80"/>
    <w:rsid w:val="00996C0E"/>
    <w:rsid w:val="009A2F0A"/>
    <w:rsid w:val="009B7087"/>
    <w:rsid w:val="009D6373"/>
    <w:rsid w:val="009E058E"/>
    <w:rsid w:val="009F4F9B"/>
    <w:rsid w:val="009F6D22"/>
    <w:rsid w:val="00A0657E"/>
    <w:rsid w:val="00A117D6"/>
    <w:rsid w:val="00A161C9"/>
    <w:rsid w:val="00A22AFE"/>
    <w:rsid w:val="00A24EF3"/>
    <w:rsid w:val="00A26014"/>
    <w:rsid w:val="00A4265D"/>
    <w:rsid w:val="00A45C62"/>
    <w:rsid w:val="00A51EB6"/>
    <w:rsid w:val="00A52448"/>
    <w:rsid w:val="00A65F2D"/>
    <w:rsid w:val="00A703AA"/>
    <w:rsid w:val="00A72C82"/>
    <w:rsid w:val="00A82050"/>
    <w:rsid w:val="00A90EF5"/>
    <w:rsid w:val="00AA7F43"/>
    <w:rsid w:val="00AB0D32"/>
    <w:rsid w:val="00AB7F25"/>
    <w:rsid w:val="00AC10BB"/>
    <w:rsid w:val="00AD089E"/>
    <w:rsid w:val="00AD3343"/>
    <w:rsid w:val="00AE643E"/>
    <w:rsid w:val="00AF43F9"/>
    <w:rsid w:val="00AF5510"/>
    <w:rsid w:val="00B05A63"/>
    <w:rsid w:val="00B07B4A"/>
    <w:rsid w:val="00B07BFE"/>
    <w:rsid w:val="00B12226"/>
    <w:rsid w:val="00B12C0C"/>
    <w:rsid w:val="00B1405A"/>
    <w:rsid w:val="00B15D3A"/>
    <w:rsid w:val="00B24C40"/>
    <w:rsid w:val="00B254F9"/>
    <w:rsid w:val="00B26D90"/>
    <w:rsid w:val="00B273BC"/>
    <w:rsid w:val="00B348FF"/>
    <w:rsid w:val="00B4482C"/>
    <w:rsid w:val="00B6490F"/>
    <w:rsid w:val="00B70FAE"/>
    <w:rsid w:val="00B94288"/>
    <w:rsid w:val="00BB0ED2"/>
    <w:rsid w:val="00BB1016"/>
    <w:rsid w:val="00BB4781"/>
    <w:rsid w:val="00BB62CE"/>
    <w:rsid w:val="00BC1AD7"/>
    <w:rsid w:val="00BE6433"/>
    <w:rsid w:val="00BF4E00"/>
    <w:rsid w:val="00C028D0"/>
    <w:rsid w:val="00C1061C"/>
    <w:rsid w:val="00C16FC7"/>
    <w:rsid w:val="00C171B6"/>
    <w:rsid w:val="00C17371"/>
    <w:rsid w:val="00C3541E"/>
    <w:rsid w:val="00C41375"/>
    <w:rsid w:val="00C45D7C"/>
    <w:rsid w:val="00C46F34"/>
    <w:rsid w:val="00C51774"/>
    <w:rsid w:val="00C5579D"/>
    <w:rsid w:val="00C62083"/>
    <w:rsid w:val="00C7336C"/>
    <w:rsid w:val="00C802B3"/>
    <w:rsid w:val="00C81DDC"/>
    <w:rsid w:val="00C85274"/>
    <w:rsid w:val="00C9267D"/>
    <w:rsid w:val="00C9424A"/>
    <w:rsid w:val="00CB3FD7"/>
    <w:rsid w:val="00CB73BE"/>
    <w:rsid w:val="00CC5A00"/>
    <w:rsid w:val="00CD69D3"/>
    <w:rsid w:val="00CF27CF"/>
    <w:rsid w:val="00CF411D"/>
    <w:rsid w:val="00CF7DE4"/>
    <w:rsid w:val="00D02C61"/>
    <w:rsid w:val="00D047CC"/>
    <w:rsid w:val="00D07E68"/>
    <w:rsid w:val="00D13E94"/>
    <w:rsid w:val="00D1490F"/>
    <w:rsid w:val="00D1763E"/>
    <w:rsid w:val="00D21480"/>
    <w:rsid w:val="00D31E69"/>
    <w:rsid w:val="00D429F7"/>
    <w:rsid w:val="00D43E24"/>
    <w:rsid w:val="00D61F92"/>
    <w:rsid w:val="00D667EF"/>
    <w:rsid w:val="00D71754"/>
    <w:rsid w:val="00D72734"/>
    <w:rsid w:val="00D75115"/>
    <w:rsid w:val="00D8366C"/>
    <w:rsid w:val="00D91DD1"/>
    <w:rsid w:val="00DA06BD"/>
    <w:rsid w:val="00DA42D2"/>
    <w:rsid w:val="00DB0F16"/>
    <w:rsid w:val="00DB1396"/>
    <w:rsid w:val="00DC6B3B"/>
    <w:rsid w:val="00DC7920"/>
    <w:rsid w:val="00DD5C9C"/>
    <w:rsid w:val="00DF3DBB"/>
    <w:rsid w:val="00DF5424"/>
    <w:rsid w:val="00DF5B9A"/>
    <w:rsid w:val="00DF6826"/>
    <w:rsid w:val="00DF7D13"/>
    <w:rsid w:val="00E02AA3"/>
    <w:rsid w:val="00E1309E"/>
    <w:rsid w:val="00E13E7E"/>
    <w:rsid w:val="00E27EF2"/>
    <w:rsid w:val="00E3457A"/>
    <w:rsid w:val="00E37FC6"/>
    <w:rsid w:val="00E454E5"/>
    <w:rsid w:val="00E50000"/>
    <w:rsid w:val="00E5702D"/>
    <w:rsid w:val="00E640CA"/>
    <w:rsid w:val="00E71ECB"/>
    <w:rsid w:val="00E749B5"/>
    <w:rsid w:val="00E86D56"/>
    <w:rsid w:val="00EA0C22"/>
    <w:rsid w:val="00EA1242"/>
    <w:rsid w:val="00EA581C"/>
    <w:rsid w:val="00EB0631"/>
    <w:rsid w:val="00EB719D"/>
    <w:rsid w:val="00EC1C03"/>
    <w:rsid w:val="00EC59B7"/>
    <w:rsid w:val="00ED0A9D"/>
    <w:rsid w:val="00EF09C0"/>
    <w:rsid w:val="00EF0F7D"/>
    <w:rsid w:val="00EF3A5A"/>
    <w:rsid w:val="00EF48BE"/>
    <w:rsid w:val="00EF6B54"/>
    <w:rsid w:val="00F05682"/>
    <w:rsid w:val="00F1423E"/>
    <w:rsid w:val="00F31442"/>
    <w:rsid w:val="00F42CB4"/>
    <w:rsid w:val="00F460C1"/>
    <w:rsid w:val="00F63539"/>
    <w:rsid w:val="00F6634D"/>
    <w:rsid w:val="00F66C79"/>
    <w:rsid w:val="00F707B1"/>
    <w:rsid w:val="00F81440"/>
    <w:rsid w:val="00F93317"/>
    <w:rsid w:val="00F950D3"/>
    <w:rsid w:val="00FA15A3"/>
    <w:rsid w:val="00FA280E"/>
    <w:rsid w:val="00FA56D7"/>
    <w:rsid w:val="00FB2E02"/>
    <w:rsid w:val="00FB417A"/>
    <w:rsid w:val="00FB7AB1"/>
    <w:rsid w:val="00FC2F29"/>
    <w:rsid w:val="00FD12F7"/>
    <w:rsid w:val="00FD1E37"/>
    <w:rsid w:val="00FD433E"/>
    <w:rsid w:val="00FD5103"/>
    <w:rsid w:val="00FD5280"/>
    <w:rsid w:val="00FD55A1"/>
    <w:rsid w:val="00FF0E43"/>
    <w:rsid w:val="00FF563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B004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667EF"/>
    <w:rPr>
      <w:rFonts w:eastAsiaTheme="minorEastAsia"/>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10BB"/>
    <w:pPr>
      <w:tabs>
        <w:tab w:val="center" w:pos="4252"/>
        <w:tab w:val="right" w:pos="8504"/>
      </w:tabs>
    </w:pPr>
    <w:rPr>
      <w:rFonts w:eastAsiaTheme="minorHAnsi"/>
      <w:lang w:val="es-ES_tradnl" w:eastAsia="en-US"/>
    </w:rPr>
  </w:style>
  <w:style w:type="character" w:customStyle="1" w:styleId="EncabezadoCar">
    <w:name w:val="Encabezado Car"/>
    <w:basedOn w:val="Fuentedeprrafopredeter"/>
    <w:link w:val="Encabezado"/>
    <w:uiPriority w:val="99"/>
    <w:rsid w:val="00AC10BB"/>
  </w:style>
  <w:style w:type="paragraph" w:styleId="Piedepgina">
    <w:name w:val="footer"/>
    <w:basedOn w:val="Normal"/>
    <w:link w:val="PiedepginaCar"/>
    <w:uiPriority w:val="99"/>
    <w:unhideWhenUsed/>
    <w:rsid w:val="00AC10BB"/>
    <w:pPr>
      <w:tabs>
        <w:tab w:val="center" w:pos="4252"/>
        <w:tab w:val="right" w:pos="8504"/>
      </w:tabs>
    </w:pPr>
    <w:rPr>
      <w:rFonts w:eastAsiaTheme="minorHAnsi"/>
      <w:lang w:val="es-ES_tradnl" w:eastAsia="en-US"/>
    </w:rPr>
  </w:style>
  <w:style w:type="character" w:customStyle="1" w:styleId="PiedepginaCar">
    <w:name w:val="Pie de página Car"/>
    <w:basedOn w:val="Fuentedeprrafopredeter"/>
    <w:link w:val="Piedepgina"/>
    <w:uiPriority w:val="99"/>
    <w:rsid w:val="00AC10BB"/>
  </w:style>
  <w:style w:type="paragraph" w:customStyle="1" w:styleId="Sinespaciado1">
    <w:name w:val="Sin espaciado1"/>
    <w:uiPriority w:val="99"/>
    <w:rsid w:val="00D667EF"/>
    <w:rPr>
      <w:rFonts w:ascii="Calibri" w:eastAsia="Times New Roman" w:hAnsi="Calibri" w:cs="Times New Roman"/>
      <w:sz w:val="22"/>
      <w:szCs w:val="22"/>
      <w:lang w:val="es-ES"/>
    </w:rPr>
  </w:style>
  <w:style w:type="paragraph" w:styleId="Prrafodelista">
    <w:name w:val="List Paragraph"/>
    <w:basedOn w:val="Normal"/>
    <w:link w:val="PrrafodelistaCar"/>
    <w:uiPriority w:val="34"/>
    <w:qFormat/>
    <w:rsid w:val="00C46F34"/>
    <w:pPr>
      <w:ind w:left="720"/>
      <w:contextualSpacing/>
    </w:pPr>
  </w:style>
  <w:style w:type="character" w:customStyle="1" w:styleId="SinespaciadoCar">
    <w:name w:val="Sin espaciado Car"/>
    <w:link w:val="Sinespaciado"/>
    <w:uiPriority w:val="1"/>
    <w:locked/>
    <w:rsid w:val="00F31442"/>
    <w:rPr>
      <w:rFonts w:ascii="Times New Roman" w:eastAsia="Times New Roman" w:hAnsi="Times New Roman" w:cs="Times New Roman"/>
      <w:lang w:val="en-US" w:bidi="en-US"/>
    </w:rPr>
  </w:style>
  <w:style w:type="paragraph" w:styleId="Sinespaciado">
    <w:name w:val="No Spacing"/>
    <w:link w:val="SinespaciadoCar"/>
    <w:uiPriority w:val="1"/>
    <w:qFormat/>
    <w:rsid w:val="00F31442"/>
    <w:rPr>
      <w:rFonts w:ascii="Times New Roman" w:eastAsia="Times New Roman" w:hAnsi="Times New Roman" w:cs="Times New Roman"/>
      <w:lang w:val="en-US" w:bidi="en-US"/>
    </w:rPr>
  </w:style>
  <w:style w:type="character" w:customStyle="1" w:styleId="PrrafodelistaCar">
    <w:name w:val="Párrafo de lista Car"/>
    <w:basedOn w:val="Fuentedeprrafopredeter"/>
    <w:link w:val="Prrafodelista"/>
    <w:uiPriority w:val="34"/>
    <w:locked/>
    <w:rsid w:val="00F31442"/>
    <w:rPr>
      <w:rFonts w:eastAsiaTheme="minorEastAsia"/>
      <w:lang w:val="es-MX" w:eastAsia="es-ES"/>
    </w:rPr>
  </w:style>
  <w:style w:type="table" w:styleId="Tablaconcuadrcula">
    <w:name w:val="Table Grid"/>
    <w:basedOn w:val="Tablanormal"/>
    <w:uiPriority w:val="39"/>
    <w:rsid w:val="00C16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D5280"/>
    <w:pPr>
      <w:spacing w:before="100" w:beforeAutospacing="1" w:after="100" w:afterAutospacing="1"/>
    </w:pPr>
    <w:rPr>
      <w:rFonts w:ascii="Times New Roman" w:eastAsia="Times New Roman" w:hAnsi="Times New Roman" w:cs="Times New Roman"/>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454403">
      <w:bodyDiv w:val="1"/>
      <w:marLeft w:val="0"/>
      <w:marRight w:val="0"/>
      <w:marTop w:val="0"/>
      <w:marBottom w:val="0"/>
      <w:divBdr>
        <w:top w:val="none" w:sz="0" w:space="0" w:color="auto"/>
        <w:left w:val="none" w:sz="0" w:space="0" w:color="auto"/>
        <w:bottom w:val="none" w:sz="0" w:space="0" w:color="auto"/>
        <w:right w:val="none" w:sz="0" w:space="0" w:color="auto"/>
      </w:divBdr>
    </w:div>
    <w:div w:id="718669946">
      <w:bodyDiv w:val="1"/>
      <w:marLeft w:val="0"/>
      <w:marRight w:val="0"/>
      <w:marTop w:val="0"/>
      <w:marBottom w:val="0"/>
      <w:divBdr>
        <w:top w:val="none" w:sz="0" w:space="0" w:color="auto"/>
        <w:left w:val="none" w:sz="0" w:space="0" w:color="auto"/>
        <w:bottom w:val="none" w:sz="0" w:space="0" w:color="auto"/>
        <w:right w:val="none" w:sz="0" w:space="0" w:color="auto"/>
      </w:divBdr>
      <w:divsChild>
        <w:div w:id="6955226">
          <w:marLeft w:val="547"/>
          <w:marRight w:val="0"/>
          <w:marTop w:val="0"/>
          <w:marBottom w:val="0"/>
          <w:divBdr>
            <w:top w:val="none" w:sz="0" w:space="0" w:color="auto"/>
            <w:left w:val="none" w:sz="0" w:space="0" w:color="auto"/>
            <w:bottom w:val="none" w:sz="0" w:space="0" w:color="auto"/>
            <w:right w:val="none" w:sz="0" w:space="0" w:color="auto"/>
          </w:divBdr>
        </w:div>
        <w:div w:id="454714242">
          <w:marLeft w:val="547"/>
          <w:marRight w:val="0"/>
          <w:marTop w:val="0"/>
          <w:marBottom w:val="0"/>
          <w:divBdr>
            <w:top w:val="none" w:sz="0" w:space="0" w:color="auto"/>
            <w:left w:val="none" w:sz="0" w:space="0" w:color="auto"/>
            <w:bottom w:val="none" w:sz="0" w:space="0" w:color="auto"/>
            <w:right w:val="none" w:sz="0" w:space="0" w:color="auto"/>
          </w:divBdr>
        </w:div>
        <w:div w:id="713234088">
          <w:marLeft w:val="547"/>
          <w:marRight w:val="0"/>
          <w:marTop w:val="0"/>
          <w:marBottom w:val="0"/>
          <w:divBdr>
            <w:top w:val="none" w:sz="0" w:space="0" w:color="auto"/>
            <w:left w:val="none" w:sz="0" w:space="0" w:color="auto"/>
            <w:bottom w:val="none" w:sz="0" w:space="0" w:color="auto"/>
            <w:right w:val="none" w:sz="0" w:space="0" w:color="auto"/>
          </w:divBdr>
        </w:div>
      </w:divsChild>
    </w:div>
    <w:div w:id="1703356354">
      <w:bodyDiv w:val="1"/>
      <w:marLeft w:val="0"/>
      <w:marRight w:val="0"/>
      <w:marTop w:val="0"/>
      <w:marBottom w:val="0"/>
      <w:divBdr>
        <w:top w:val="none" w:sz="0" w:space="0" w:color="auto"/>
        <w:left w:val="none" w:sz="0" w:space="0" w:color="auto"/>
        <w:bottom w:val="none" w:sz="0" w:space="0" w:color="auto"/>
        <w:right w:val="none" w:sz="0" w:space="0" w:color="auto"/>
      </w:divBdr>
    </w:div>
    <w:div w:id="1757820715">
      <w:bodyDiv w:val="1"/>
      <w:marLeft w:val="0"/>
      <w:marRight w:val="0"/>
      <w:marTop w:val="0"/>
      <w:marBottom w:val="0"/>
      <w:divBdr>
        <w:top w:val="none" w:sz="0" w:space="0" w:color="auto"/>
        <w:left w:val="none" w:sz="0" w:space="0" w:color="auto"/>
        <w:bottom w:val="none" w:sz="0" w:space="0" w:color="auto"/>
        <w:right w:val="none" w:sz="0" w:space="0" w:color="auto"/>
      </w:divBdr>
    </w:div>
    <w:div w:id="19597238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6E6FD9FD8C73314382928504F3A5AC9E" ma:contentTypeVersion="13" ma:contentTypeDescription="Crear nuevo documento." ma:contentTypeScope="" ma:versionID="20165c3ac9638c438edf4f51124131a2">
  <xsd:schema xmlns:xsd="http://www.w3.org/2001/XMLSchema" xmlns:xs="http://www.w3.org/2001/XMLSchema" xmlns:p="http://schemas.microsoft.com/office/2006/metadata/properties" xmlns:ns3="4fa3a285-a983-4768-83b8-6a48e164db8c" xmlns:ns4="92e4a77c-da96-4935-b16f-22b8e035546d" targetNamespace="http://schemas.microsoft.com/office/2006/metadata/properties" ma:root="true" ma:fieldsID="f66321b2c22fd97e7fa8b225777a5958" ns3:_="" ns4:_="">
    <xsd:import namespace="4fa3a285-a983-4768-83b8-6a48e164db8c"/>
    <xsd:import namespace="92e4a77c-da96-4935-b16f-22b8e035546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3a285-a983-4768-83b8-6a48e164d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e4a77c-da96-4935-b16f-22b8e035546d"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697524-B4F9-4182-842D-2658B692E36D}">
  <ds:schemaRefs>
    <ds:schemaRef ds:uri="4fa3a285-a983-4768-83b8-6a48e164db8c"/>
    <ds:schemaRef ds:uri="http://schemas.microsoft.com/office/2006/documentManagement/types"/>
    <ds:schemaRef ds:uri="http://purl.org/dc/terms/"/>
    <ds:schemaRef ds:uri="http://schemas.openxmlformats.org/package/2006/metadata/core-properties"/>
    <ds:schemaRef ds:uri="http://www.w3.org/XML/1998/namespace"/>
    <ds:schemaRef ds:uri="http://schemas.microsoft.com/office/2006/metadata/properties"/>
    <ds:schemaRef ds:uri="http://purl.org/dc/elements/1.1/"/>
    <ds:schemaRef ds:uri="http://purl.org/dc/dcmitype/"/>
    <ds:schemaRef ds:uri="http://schemas.microsoft.com/office/infopath/2007/PartnerControls"/>
    <ds:schemaRef ds:uri="92e4a77c-da96-4935-b16f-22b8e035546d"/>
  </ds:schemaRefs>
</ds:datastoreItem>
</file>

<file path=customXml/itemProps2.xml><?xml version="1.0" encoding="utf-8"?>
<ds:datastoreItem xmlns:ds="http://schemas.openxmlformats.org/officeDocument/2006/customXml" ds:itemID="{05388C2B-AEF5-4387-A20F-60CAEFD1AA85}">
  <ds:schemaRefs>
    <ds:schemaRef ds:uri="http://schemas.microsoft.com/sharepoint/v3/contenttype/forms"/>
  </ds:schemaRefs>
</ds:datastoreItem>
</file>

<file path=customXml/itemProps3.xml><?xml version="1.0" encoding="utf-8"?>
<ds:datastoreItem xmlns:ds="http://schemas.openxmlformats.org/officeDocument/2006/customXml" ds:itemID="{E5538497-AAB0-474F-9F1F-8EC5011BC898}">
  <ds:schemaRefs>
    <ds:schemaRef ds:uri="http://schemas.openxmlformats.org/officeDocument/2006/bibliography"/>
  </ds:schemaRefs>
</ds:datastoreItem>
</file>

<file path=customXml/itemProps4.xml><?xml version="1.0" encoding="utf-8"?>
<ds:datastoreItem xmlns:ds="http://schemas.openxmlformats.org/officeDocument/2006/customXml" ds:itemID="{127AD6FD-DAB5-4A86-88A5-74BFF3A59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3a285-a983-4768-83b8-6a48e164db8c"/>
    <ds:schemaRef ds:uri="92e4a77c-da96-4935-b16f-22b8e0355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2541</Characters>
  <Application>Microsoft Office Word</Application>
  <DocSecurity>0</DocSecurity>
  <Lines>36</Lines>
  <Paragraphs>8</Paragraphs>
  <ScaleCrop>false</ScaleCrop>
  <HeadingPairs>
    <vt:vector size="6" baseType="variant">
      <vt:variant>
        <vt:lpstr>Título</vt:lpstr>
      </vt:variant>
      <vt:variant>
        <vt:i4>1</vt:i4>
      </vt:variant>
      <vt:variant>
        <vt:lpstr>Title</vt:lpstr>
      </vt:variant>
      <vt:variant>
        <vt:i4>1</vt:i4>
      </vt:variant>
      <vt:variant>
        <vt:lpstr>Rubrik</vt:lpstr>
      </vt:variant>
      <vt:variant>
        <vt:i4>1</vt:i4>
      </vt:variant>
    </vt:vector>
  </HeadingPairs>
  <TitlesOfParts>
    <vt:vector size="3" baseType="lpstr">
      <vt:lpstr/>
      <vt: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David Lopez Castaneda</dc:creator>
  <cp:keywords/>
  <dc:description/>
  <cp:lastModifiedBy>Jorge Luis Duran Pastrana</cp:lastModifiedBy>
  <cp:revision>2</cp:revision>
  <cp:lastPrinted>2022-02-25T19:27:00Z</cp:lastPrinted>
  <dcterms:created xsi:type="dcterms:W3CDTF">2022-02-25T20:00:00Z</dcterms:created>
  <dcterms:modified xsi:type="dcterms:W3CDTF">2022-02-25T20:00:00Z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0x0101006E6FD9FD8C73314382928504F3A5AC9E</vt:lpwstr>
  </property>
  <property fmtid="{D5CDD505-2E9C-101B-9397-08002B2CF9AE}" pid="3" name="MSIP_Label_f56440b0-bb43-4d81-a621-bc28eeeaa1f1_Enabled">
    <vt:lpwstr>true</vt:lpwstr>
  </property>
  <property fmtid="{D5CDD505-2E9C-101B-9397-08002B2CF9AE}" pid="4" name="MSIP_Label_f56440b0-bb43-4d81-a621-bc28eeeaa1f1_SetDate">
    <vt:lpwstr>2022-02-25T19:26:36Z</vt:lpwstr>
  </property>
  <property fmtid="{D5CDD505-2E9C-101B-9397-08002B2CF9AE}" pid="5" name="MSIP_Label_f56440b0-bb43-4d81-a621-bc28eeeaa1f1_Method">
    <vt:lpwstr>Privileged</vt:lpwstr>
  </property>
  <property fmtid="{D5CDD505-2E9C-101B-9397-08002B2CF9AE}" pid="6" name="MSIP_Label_f56440b0-bb43-4d81-a621-bc28eeeaa1f1_Name">
    <vt:lpwstr>f56440b0-bb43-4d81-a621-bc28eeeaa1f1</vt:lpwstr>
  </property>
  <property fmtid="{D5CDD505-2E9C-101B-9397-08002B2CF9AE}" pid="7" name="MSIP_Label_f56440b0-bb43-4d81-a621-bc28eeeaa1f1_SiteId">
    <vt:lpwstr>d49de431-8ec2-4627-95dc-a1b041bbab30</vt:lpwstr>
  </property>
  <property fmtid="{D5CDD505-2E9C-101B-9397-08002B2CF9AE}" pid="8" name="MSIP_Label_f56440b0-bb43-4d81-a621-bc28eeeaa1f1_ContentBits">
    <vt:lpwstr>0</vt:lpwstr>
  </property>
</Properties>
</file>