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AE2D" w14:textId="77777777" w:rsidR="00D9201D" w:rsidRPr="00867420" w:rsidRDefault="00D9201D" w:rsidP="00C042A2">
      <w:pPr>
        <w:pStyle w:val="Estilo1"/>
      </w:pPr>
    </w:p>
    <w:p w14:paraId="1E3AD8CE" w14:textId="5FF455A6" w:rsidR="00D73851" w:rsidRPr="00867420" w:rsidRDefault="00D73851" w:rsidP="00C042A2">
      <w:pPr>
        <w:pStyle w:val="Estilo1"/>
      </w:pPr>
      <w:r w:rsidRPr="00867420">
        <w:t>OBJECTIVE</w:t>
      </w:r>
    </w:p>
    <w:p w14:paraId="22B1226C" w14:textId="77777777" w:rsidR="005F0983" w:rsidRPr="00867420" w:rsidRDefault="005F0983" w:rsidP="00C042A2">
      <w:pPr>
        <w:autoSpaceDE w:val="0"/>
        <w:autoSpaceDN w:val="0"/>
        <w:adjustRightInd w:val="0"/>
        <w:spacing w:after="0" w:line="240" w:lineRule="auto"/>
        <w:jc w:val="both"/>
        <w:rPr>
          <w:iCs/>
        </w:rPr>
      </w:pPr>
    </w:p>
    <w:p w14:paraId="2270A07C" w14:textId="00852480" w:rsidR="005F0983" w:rsidRPr="00867420" w:rsidRDefault="000F7AB7" w:rsidP="00C042A2">
      <w:pPr>
        <w:autoSpaceDE w:val="0"/>
        <w:autoSpaceDN w:val="0"/>
        <w:adjustRightInd w:val="0"/>
        <w:spacing w:after="0" w:line="240" w:lineRule="auto"/>
        <w:jc w:val="both"/>
        <w:rPr>
          <w:iCs/>
          <w:sz w:val="22"/>
          <w:szCs w:val="24"/>
        </w:rPr>
      </w:pPr>
      <w:r w:rsidRPr="00867420">
        <w:rPr>
          <w:sz w:val="22"/>
        </w:rPr>
        <w:t xml:space="preserve">To guide </w:t>
      </w:r>
      <w:proofErr w:type="spellStart"/>
      <w:r w:rsidRPr="00867420">
        <w:rPr>
          <w:sz w:val="22"/>
        </w:rPr>
        <w:t>GEB’s</w:t>
      </w:r>
      <w:proofErr w:type="spellEnd"/>
      <w:r w:rsidRPr="00867420">
        <w:rPr>
          <w:sz w:val="22"/>
        </w:rPr>
        <w:t xml:space="preserve"> processes when placing the company’s shares in the primary market directly, which means when the placement is not made through an institution supervised by the Financial Superintendence of Colombia (</w:t>
      </w:r>
      <w:proofErr w:type="spellStart"/>
      <w:r w:rsidRPr="00867420">
        <w:rPr>
          <w:sz w:val="22"/>
        </w:rPr>
        <w:t>SFC</w:t>
      </w:r>
      <w:proofErr w:type="spellEnd"/>
      <w:r w:rsidRPr="00867420">
        <w:rPr>
          <w:sz w:val="22"/>
        </w:rPr>
        <w:t>, for the Spanish original).</w:t>
      </w:r>
    </w:p>
    <w:p w14:paraId="0ED5E618" w14:textId="3EE8E4E9" w:rsidR="00D9201D" w:rsidRPr="00867420" w:rsidRDefault="00D9201D" w:rsidP="00C042A2">
      <w:pPr>
        <w:autoSpaceDE w:val="0"/>
        <w:autoSpaceDN w:val="0"/>
        <w:adjustRightInd w:val="0"/>
        <w:spacing w:after="0" w:line="240" w:lineRule="auto"/>
        <w:jc w:val="both"/>
        <w:rPr>
          <w:iCs/>
          <w:sz w:val="22"/>
          <w:szCs w:val="24"/>
        </w:rPr>
      </w:pPr>
    </w:p>
    <w:p w14:paraId="07A29AD9" w14:textId="77777777" w:rsidR="00D9201D" w:rsidRPr="00867420" w:rsidRDefault="00D9201D" w:rsidP="00C042A2">
      <w:pPr>
        <w:autoSpaceDE w:val="0"/>
        <w:autoSpaceDN w:val="0"/>
        <w:adjustRightInd w:val="0"/>
        <w:spacing w:after="0" w:line="240" w:lineRule="auto"/>
        <w:jc w:val="both"/>
        <w:rPr>
          <w:iCs/>
          <w:sz w:val="22"/>
          <w:szCs w:val="24"/>
        </w:rPr>
      </w:pPr>
    </w:p>
    <w:p w14:paraId="0D8FA002" w14:textId="78ECC950" w:rsidR="00D73851" w:rsidRPr="00867420" w:rsidRDefault="00161488" w:rsidP="00C042A2">
      <w:pPr>
        <w:pStyle w:val="Estilo1"/>
      </w:pPr>
      <w:r w:rsidRPr="00867420">
        <w:t>GUIDELINES</w:t>
      </w:r>
    </w:p>
    <w:p w14:paraId="6A3A2258" w14:textId="0B5CE3C9" w:rsidR="0036766A" w:rsidRPr="00867420" w:rsidRDefault="0036766A" w:rsidP="00C042A2">
      <w:pPr>
        <w:spacing w:after="0" w:line="240" w:lineRule="auto"/>
      </w:pPr>
      <w:bookmarkStart w:id="0" w:name="_bookmark6"/>
      <w:bookmarkStart w:id="1" w:name="_Toc95152428"/>
      <w:bookmarkStart w:id="2" w:name="_Toc95158765"/>
      <w:bookmarkEnd w:id="0"/>
    </w:p>
    <w:p w14:paraId="6053E03D" w14:textId="77777777" w:rsidR="004211B1" w:rsidRPr="00867420" w:rsidRDefault="004211B1" w:rsidP="00C042A2">
      <w:pPr>
        <w:spacing w:after="0" w:line="240" w:lineRule="auto"/>
      </w:pPr>
    </w:p>
    <w:p w14:paraId="0A13F28D" w14:textId="1E215888" w:rsidR="00C50E41" w:rsidRPr="00867420" w:rsidRDefault="000F7AB7" w:rsidP="00C042A2">
      <w:pPr>
        <w:pStyle w:val="Heading1"/>
        <w:rPr>
          <w:color w:val="0070C0"/>
        </w:rPr>
      </w:pPr>
      <w:r w:rsidRPr="00867420">
        <w:rPr>
          <w:color w:val="0070C0"/>
        </w:rPr>
        <w:t>DIRECT PLACEMENT OF SECURITIES</w:t>
      </w:r>
      <w:bookmarkEnd w:id="1"/>
      <w:bookmarkEnd w:id="2"/>
    </w:p>
    <w:p w14:paraId="3A4CC644" w14:textId="77777777" w:rsidR="00C50E41" w:rsidRPr="00867420" w:rsidRDefault="00C50E41" w:rsidP="00C042A2">
      <w:pPr>
        <w:autoSpaceDE w:val="0"/>
        <w:autoSpaceDN w:val="0"/>
        <w:spacing w:after="0" w:line="240" w:lineRule="auto"/>
        <w:jc w:val="both"/>
        <w:rPr>
          <w:rFonts w:eastAsia="Arial" w:cs="Arial"/>
          <w:b/>
          <w:sz w:val="22"/>
        </w:rPr>
      </w:pPr>
    </w:p>
    <w:p w14:paraId="2E5EFDA4" w14:textId="4249E7CC" w:rsidR="00C50E41" w:rsidRPr="00867420" w:rsidRDefault="00C50E41" w:rsidP="00C042A2">
      <w:pPr>
        <w:spacing w:after="0" w:line="240" w:lineRule="auto"/>
        <w:jc w:val="both"/>
        <w:rPr>
          <w:rFonts w:eastAsia="Calibri" w:cs="Arial"/>
          <w:sz w:val="22"/>
        </w:rPr>
      </w:pPr>
      <w:r w:rsidRPr="00867420">
        <w:rPr>
          <w:sz w:val="22"/>
        </w:rPr>
        <w:t xml:space="preserve">Whenever GEB places securities in the primary market directly, which means when the placement is not made through an institution supervised by the </w:t>
      </w:r>
      <w:proofErr w:type="spellStart"/>
      <w:r w:rsidRPr="00867420">
        <w:rPr>
          <w:sz w:val="22"/>
        </w:rPr>
        <w:t>SFC</w:t>
      </w:r>
      <w:proofErr w:type="spellEnd"/>
      <w:r w:rsidRPr="00867420">
        <w:rPr>
          <w:sz w:val="22"/>
        </w:rPr>
        <w:t>, the Financial Vice-president’s Office must comply with the guidelines indicated below:</w:t>
      </w:r>
    </w:p>
    <w:p w14:paraId="0FF5BB1D" w14:textId="0DEAFE0E" w:rsidR="0036766A" w:rsidRPr="00867420" w:rsidRDefault="0036766A" w:rsidP="00C042A2">
      <w:pPr>
        <w:spacing w:after="0" w:line="240" w:lineRule="auto"/>
        <w:jc w:val="both"/>
        <w:rPr>
          <w:rFonts w:eastAsia="Calibri" w:cs="Arial"/>
          <w:sz w:val="22"/>
        </w:rPr>
      </w:pPr>
    </w:p>
    <w:p w14:paraId="0B212286" w14:textId="77777777" w:rsidR="00654EC2" w:rsidRPr="00867420" w:rsidRDefault="00654EC2" w:rsidP="00C042A2">
      <w:pPr>
        <w:spacing w:after="0" w:line="240" w:lineRule="auto"/>
        <w:jc w:val="both"/>
        <w:rPr>
          <w:rFonts w:eastAsia="Calibri" w:cs="Arial"/>
          <w:sz w:val="22"/>
        </w:rPr>
      </w:pPr>
    </w:p>
    <w:p w14:paraId="0D353561" w14:textId="3EEAC838" w:rsidR="00C50E41" w:rsidRPr="00867420" w:rsidRDefault="00C50E41" w:rsidP="00C042A2">
      <w:pPr>
        <w:pStyle w:val="Heading2"/>
      </w:pPr>
      <w:bookmarkStart w:id="3" w:name="_bookmark7"/>
      <w:bookmarkStart w:id="4" w:name="_Toc95152429"/>
      <w:bookmarkStart w:id="5" w:name="_Toc95158766"/>
      <w:bookmarkEnd w:id="3"/>
      <w:r w:rsidRPr="00867420">
        <w:t>Knowledge of the Shareholder or Investor:</w:t>
      </w:r>
      <w:bookmarkEnd w:id="4"/>
      <w:bookmarkEnd w:id="5"/>
    </w:p>
    <w:p w14:paraId="4D4D7193" w14:textId="77777777" w:rsidR="00C50E41" w:rsidRPr="00867420" w:rsidRDefault="00C50E41" w:rsidP="00C042A2">
      <w:pPr>
        <w:autoSpaceDE w:val="0"/>
        <w:autoSpaceDN w:val="0"/>
        <w:spacing w:after="0" w:line="240" w:lineRule="auto"/>
        <w:ind w:left="567"/>
        <w:jc w:val="both"/>
        <w:rPr>
          <w:rFonts w:eastAsia="Arial" w:cs="Arial"/>
          <w:b/>
          <w:sz w:val="22"/>
        </w:rPr>
      </w:pPr>
    </w:p>
    <w:p w14:paraId="2F0AFC1B" w14:textId="77777777" w:rsidR="00C50E41" w:rsidRPr="00867420" w:rsidRDefault="00C50E41" w:rsidP="00C042A2">
      <w:pPr>
        <w:autoSpaceDE w:val="0"/>
        <w:autoSpaceDN w:val="0"/>
        <w:spacing w:after="0" w:line="240" w:lineRule="auto"/>
        <w:ind w:right="121"/>
        <w:jc w:val="both"/>
        <w:rPr>
          <w:rFonts w:eastAsia="Arial" w:cs="Arial"/>
          <w:sz w:val="22"/>
        </w:rPr>
      </w:pPr>
      <w:r w:rsidRPr="00867420">
        <w:rPr>
          <w:sz w:val="22"/>
        </w:rPr>
        <w:t xml:space="preserve">Knowledge of the Shareholder or Investor begins from the moment an individual or legal entity directly or indirectly states the intention to acquire securities issued by GEB. </w:t>
      </w:r>
      <w:proofErr w:type="gramStart"/>
      <w:r w:rsidRPr="00867420">
        <w:rPr>
          <w:sz w:val="22"/>
        </w:rPr>
        <w:t>In order to</w:t>
      </w:r>
      <w:proofErr w:type="gramEnd"/>
      <w:r w:rsidRPr="00867420">
        <w:rPr>
          <w:sz w:val="22"/>
        </w:rPr>
        <w:t xml:space="preserve"> associate a shareholders or investor, the person in charge at the Financial Vice-president’s Office must comply with the following requirements:</w:t>
      </w:r>
    </w:p>
    <w:p w14:paraId="53765A45" w14:textId="4C5EBB4C" w:rsidR="00C50E41" w:rsidRPr="00867420" w:rsidRDefault="00C50E41" w:rsidP="00C042A2">
      <w:pPr>
        <w:autoSpaceDE w:val="0"/>
        <w:autoSpaceDN w:val="0"/>
        <w:spacing w:after="0" w:line="240" w:lineRule="auto"/>
        <w:jc w:val="both"/>
        <w:rPr>
          <w:rFonts w:eastAsia="Arial" w:cs="Arial"/>
          <w:sz w:val="22"/>
        </w:rPr>
      </w:pPr>
    </w:p>
    <w:p w14:paraId="6944209C" w14:textId="77777777" w:rsidR="00D05634" w:rsidRPr="00867420" w:rsidRDefault="00D05634" w:rsidP="00C042A2">
      <w:pPr>
        <w:autoSpaceDE w:val="0"/>
        <w:autoSpaceDN w:val="0"/>
        <w:spacing w:after="0" w:line="240" w:lineRule="auto"/>
        <w:jc w:val="both"/>
        <w:rPr>
          <w:rFonts w:eastAsia="Arial" w:cs="Arial"/>
          <w:sz w:val="22"/>
        </w:rPr>
      </w:pPr>
    </w:p>
    <w:p w14:paraId="7E71E753" w14:textId="284B61C2" w:rsidR="00C50E41" w:rsidRPr="00867420" w:rsidRDefault="00C50E41" w:rsidP="00C042A2">
      <w:pPr>
        <w:pStyle w:val="Estilo2"/>
      </w:pPr>
      <w:bookmarkStart w:id="6" w:name="_Toc95152430"/>
      <w:bookmarkStart w:id="7" w:name="_Toc95158767"/>
      <w:r w:rsidRPr="00867420">
        <w:t>Completing an Association Form</w:t>
      </w:r>
      <w:bookmarkEnd w:id="6"/>
      <w:bookmarkEnd w:id="7"/>
    </w:p>
    <w:p w14:paraId="72C44852" w14:textId="77777777" w:rsidR="00C50E41" w:rsidRPr="00867420" w:rsidRDefault="00C50E41" w:rsidP="00C042A2">
      <w:pPr>
        <w:spacing w:after="0" w:line="240" w:lineRule="auto"/>
      </w:pPr>
    </w:p>
    <w:p w14:paraId="6F1764A7" w14:textId="77777777" w:rsidR="00C50E41" w:rsidRPr="00867420" w:rsidRDefault="00C50E41" w:rsidP="00C042A2">
      <w:pPr>
        <w:tabs>
          <w:tab w:val="left" w:pos="629"/>
        </w:tabs>
        <w:spacing w:after="0" w:line="240" w:lineRule="auto"/>
        <w:ind w:right="130"/>
        <w:jc w:val="both"/>
        <w:rPr>
          <w:rFonts w:eastAsia="Calibri" w:cs="Arial"/>
          <w:sz w:val="22"/>
        </w:rPr>
      </w:pPr>
      <w:r w:rsidRPr="00867420">
        <w:rPr>
          <w:sz w:val="22"/>
        </w:rPr>
        <w:t>All the people who wish to purchase GEB securities and be accepted as shareholders or investors must complete an association form, which includes the following information:</w:t>
      </w:r>
    </w:p>
    <w:p w14:paraId="128401DC" w14:textId="77777777" w:rsidR="00D05634" w:rsidRPr="00867420" w:rsidRDefault="00D05634" w:rsidP="00C042A2">
      <w:pPr>
        <w:autoSpaceDE w:val="0"/>
        <w:autoSpaceDN w:val="0"/>
        <w:spacing w:after="0" w:line="240" w:lineRule="auto"/>
        <w:ind w:right="139"/>
        <w:jc w:val="both"/>
        <w:rPr>
          <w:rFonts w:eastAsia="Arial" w:cs="Arial"/>
          <w:sz w:val="22"/>
        </w:rPr>
      </w:pPr>
    </w:p>
    <w:p w14:paraId="6F7D460A" w14:textId="48EBA0C8" w:rsidR="00C50E41" w:rsidRPr="00867420" w:rsidRDefault="00C50E41" w:rsidP="00C042A2">
      <w:pPr>
        <w:autoSpaceDE w:val="0"/>
        <w:autoSpaceDN w:val="0"/>
        <w:spacing w:after="0" w:line="240" w:lineRule="auto"/>
        <w:ind w:right="139"/>
        <w:jc w:val="both"/>
        <w:rPr>
          <w:rFonts w:eastAsia="Arial" w:cs="Arial"/>
          <w:sz w:val="22"/>
        </w:rPr>
      </w:pPr>
      <w:proofErr w:type="spellStart"/>
      <w:r w:rsidRPr="00867420">
        <w:rPr>
          <w:sz w:val="22"/>
        </w:rPr>
        <w:t>PN</w:t>
      </w:r>
      <w:proofErr w:type="spellEnd"/>
      <w:r w:rsidRPr="00867420">
        <w:rPr>
          <w:sz w:val="22"/>
        </w:rPr>
        <w:t xml:space="preserve">: Association of an individual </w:t>
      </w:r>
    </w:p>
    <w:p w14:paraId="33F4D2B6" w14:textId="26010328" w:rsidR="00C50E41" w:rsidRPr="00867420" w:rsidRDefault="00C50E41" w:rsidP="00C042A2">
      <w:pPr>
        <w:autoSpaceDE w:val="0"/>
        <w:autoSpaceDN w:val="0"/>
        <w:spacing w:after="0" w:line="240" w:lineRule="auto"/>
        <w:ind w:right="139"/>
        <w:jc w:val="both"/>
        <w:rPr>
          <w:rFonts w:eastAsia="Arial" w:cs="Arial"/>
          <w:sz w:val="22"/>
        </w:rPr>
      </w:pPr>
      <w:r w:rsidRPr="00867420">
        <w:rPr>
          <w:sz w:val="22"/>
        </w:rPr>
        <w:t>PJ: Association of a legal entity</w:t>
      </w:r>
    </w:p>
    <w:p w14:paraId="0FE2DC7E" w14:textId="631F84EB" w:rsidR="00A53219" w:rsidRPr="00867420" w:rsidRDefault="00A53219" w:rsidP="00C042A2">
      <w:pPr>
        <w:autoSpaceDE w:val="0"/>
        <w:autoSpaceDN w:val="0"/>
        <w:spacing w:after="0" w:line="240" w:lineRule="auto"/>
        <w:ind w:right="139"/>
        <w:jc w:val="both"/>
        <w:rPr>
          <w:rFonts w:eastAsia="Arial" w:cs="Arial"/>
          <w:sz w:val="22"/>
        </w:rPr>
      </w:pPr>
    </w:p>
    <w:p w14:paraId="7EF2B2AA" w14:textId="77777777" w:rsidR="00C042A2" w:rsidRDefault="00C042A2" w:rsidP="00C042A2">
      <w:pPr>
        <w:rPr>
          <w:rFonts w:eastAsia="Arial" w:cs="Arial"/>
          <w:sz w:val="22"/>
        </w:rPr>
      </w:pPr>
      <w:r>
        <w:rPr>
          <w:rFonts w:eastAsia="Arial" w:cs="Arial"/>
          <w:i/>
          <w:iCs/>
          <w:sz w:val="22"/>
        </w:rPr>
        <w:br w:type="page"/>
      </w:r>
    </w:p>
    <w:p w14:paraId="63F4F345" w14:textId="6A8B596E" w:rsidR="00A53219" w:rsidRPr="009A185E" w:rsidRDefault="00A53219" w:rsidP="00C042A2">
      <w:pPr>
        <w:pStyle w:val="Estilo3"/>
        <w:spacing w:after="120"/>
      </w:pPr>
      <w:r w:rsidRPr="009A185E">
        <w:lastRenderedPageBreak/>
        <w:t xml:space="preserve">Illustration </w:t>
      </w:r>
      <w:fldSimple w:instr=" SEQ Ilustración \* ARABIC ">
        <w:r w:rsidRPr="009A185E">
          <w:rPr>
            <w:noProof/>
          </w:rPr>
          <w:t>1</w:t>
        </w:r>
      </w:fldSimple>
      <w:r w:rsidRPr="009A185E">
        <w:t>. Association Form</w:t>
      </w:r>
    </w:p>
    <w:tbl>
      <w:tblPr>
        <w:tblOverlap w:val="never"/>
        <w:tblW w:w="7005" w:type="dxa"/>
        <w:jc w:val="center"/>
        <w:tblCellMar>
          <w:left w:w="10" w:type="dxa"/>
          <w:right w:w="10" w:type="dxa"/>
        </w:tblCellMar>
        <w:tblLook w:val="0000" w:firstRow="0" w:lastRow="0" w:firstColumn="0" w:lastColumn="0" w:noHBand="0" w:noVBand="0"/>
      </w:tblPr>
      <w:tblGrid>
        <w:gridCol w:w="5926"/>
        <w:gridCol w:w="553"/>
        <w:gridCol w:w="526"/>
      </w:tblGrid>
      <w:tr w:rsidR="00E85F80" w:rsidRPr="00E85F80" w14:paraId="43E389D8" w14:textId="77777777" w:rsidTr="00AB5921">
        <w:trPr>
          <w:trHeight w:val="252"/>
          <w:jc w:val="center"/>
        </w:trPr>
        <w:tc>
          <w:tcPr>
            <w:tcW w:w="5926"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46DB9A74" w14:textId="77777777" w:rsidR="00E85F80" w:rsidRPr="00E85F80" w:rsidRDefault="00E85F80" w:rsidP="00C042A2">
            <w:pPr>
              <w:spacing w:after="0" w:line="240" w:lineRule="auto"/>
              <w:ind w:left="142" w:right="168"/>
              <w:jc w:val="center"/>
              <w:rPr>
                <w:rFonts w:eastAsia="Arial Unicode MS" w:cs="Arial"/>
                <w:b/>
                <w:bCs/>
                <w:color w:val="5B87D5"/>
                <w:sz w:val="16"/>
                <w:szCs w:val="16"/>
                <w:lang w:eastAsia="es-ES" w:bidi="es-ES"/>
              </w:rPr>
            </w:pPr>
            <w:bookmarkStart w:id="8" w:name="_Hlk132005941"/>
            <w:r w:rsidRPr="00E85F80">
              <w:rPr>
                <w:rFonts w:eastAsia="Arial Unicode MS" w:cs="Arial Unicode MS"/>
                <w:b/>
                <w:color w:val="5B87D5"/>
                <w:sz w:val="16"/>
                <w:szCs w:val="16"/>
                <w:lang w:eastAsia="es-ES" w:bidi="es-ES"/>
              </w:rPr>
              <w:t>DESCRIPTION</w:t>
            </w:r>
          </w:p>
        </w:tc>
        <w:tc>
          <w:tcPr>
            <w:tcW w:w="553"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71C121C3" w14:textId="77777777" w:rsidR="00E85F80" w:rsidRPr="00E85F80" w:rsidRDefault="00E85F80" w:rsidP="00C042A2">
            <w:pPr>
              <w:spacing w:after="0" w:line="240" w:lineRule="auto"/>
              <w:ind w:left="142" w:right="168"/>
              <w:jc w:val="center"/>
              <w:rPr>
                <w:rFonts w:eastAsia="Arial Unicode MS" w:cs="Arial Unicode MS"/>
                <w:b/>
                <w:color w:val="5B87D5"/>
                <w:sz w:val="16"/>
                <w:szCs w:val="16"/>
                <w:lang w:eastAsia="es-ES" w:bidi="es-ES"/>
              </w:rPr>
            </w:pPr>
            <w:proofErr w:type="spellStart"/>
            <w:r w:rsidRPr="00E85F80">
              <w:rPr>
                <w:rFonts w:eastAsia="Arial Unicode MS" w:cs="Arial Unicode MS"/>
                <w:b/>
                <w:color w:val="5B87D5"/>
                <w:sz w:val="16"/>
                <w:szCs w:val="16"/>
                <w:lang w:eastAsia="es-ES" w:bidi="es-ES"/>
              </w:rPr>
              <w:t>PN</w:t>
            </w:r>
            <w:proofErr w:type="spellEnd"/>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19393CF0" w14:textId="77777777" w:rsidR="00E85F80" w:rsidRPr="00E85F80" w:rsidRDefault="00E85F80" w:rsidP="00C042A2">
            <w:pPr>
              <w:spacing w:after="0" w:line="240" w:lineRule="auto"/>
              <w:ind w:left="142" w:right="168"/>
              <w:jc w:val="center"/>
              <w:rPr>
                <w:rFonts w:eastAsia="Arial Unicode MS" w:cs="Arial Unicode MS"/>
                <w:b/>
                <w:color w:val="5B87D5"/>
                <w:sz w:val="16"/>
                <w:szCs w:val="16"/>
                <w:lang w:eastAsia="es-ES" w:bidi="es-ES"/>
              </w:rPr>
            </w:pPr>
            <w:r w:rsidRPr="00E85F80">
              <w:rPr>
                <w:rFonts w:eastAsia="Arial Unicode MS" w:cs="Arial Unicode MS"/>
                <w:b/>
                <w:color w:val="5B87D5"/>
                <w:sz w:val="16"/>
                <w:szCs w:val="16"/>
                <w:lang w:eastAsia="es-ES" w:bidi="es-ES"/>
              </w:rPr>
              <w:t>PJ</w:t>
            </w:r>
          </w:p>
        </w:tc>
      </w:tr>
      <w:tr w:rsidR="00E85F80" w:rsidRPr="00E85F80" w14:paraId="4CDDF3F3" w14:textId="77777777" w:rsidTr="00AB5921">
        <w:trPr>
          <w:trHeight w:val="224"/>
          <w:jc w:val="center"/>
        </w:trPr>
        <w:tc>
          <w:tcPr>
            <w:tcW w:w="5926"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0B2C0853" w14:textId="77777777" w:rsidR="00E85F80" w:rsidRPr="00E85F80" w:rsidRDefault="00E85F80" w:rsidP="00C042A2">
            <w:pPr>
              <w:spacing w:after="0" w:line="240" w:lineRule="auto"/>
              <w:ind w:left="142" w:right="168"/>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 xml:space="preserve">Full name and last names or company </w:t>
            </w:r>
            <w:proofErr w:type="gramStart"/>
            <w:r w:rsidRPr="00E85F80">
              <w:rPr>
                <w:rFonts w:eastAsia="Arial Unicode MS" w:cs="Arial Unicode MS"/>
                <w:color w:val="5B9BD5"/>
                <w:sz w:val="14"/>
                <w:szCs w:val="14"/>
                <w:lang w:eastAsia="es-ES" w:bidi="es-ES"/>
                <w14:textFill>
                  <w14:solidFill>
                    <w14:srgbClr w14:val="5B9BD5">
                      <w14:lumMod w14:val="75000"/>
                    </w14:srgbClr>
                  </w14:solidFill>
                </w14:textFill>
              </w:rPr>
              <w:t>name</w:t>
            </w:r>
            <w:proofErr w:type="gramEnd"/>
            <w:r w:rsidRPr="00E85F80">
              <w:rPr>
                <w:rFonts w:eastAsia="Arial Unicode MS" w:cs="Arial Unicode MS"/>
                <w:color w:val="5B9BD5"/>
                <w:sz w:val="14"/>
                <w:szCs w:val="14"/>
                <w:lang w:eastAsia="es-ES" w:bidi="es-ES"/>
                <w14:textFill>
                  <w14:solidFill>
                    <w14:srgbClr w14:val="5B9BD5">
                      <w14:lumMod w14:val="75000"/>
                    </w14:srgbClr>
                  </w14:solidFill>
                </w14:textFill>
              </w:rPr>
              <w:t xml:space="preserve"> of the investor</w:t>
            </w:r>
          </w:p>
        </w:tc>
        <w:tc>
          <w:tcPr>
            <w:tcW w:w="553"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33481E5C"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70C190D3"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r>
      <w:tr w:rsidR="00E85F80" w:rsidRPr="00E85F80" w14:paraId="4389B187" w14:textId="77777777" w:rsidTr="00AB5921">
        <w:trPr>
          <w:trHeight w:val="238"/>
          <w:jc w:val="center"/>
        </w:trPr>
        <w:tc>
          <w:tcPr>
            <w:tcW w:w="5926"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79E49082" w14:textId="77777777" w:rsidR="00E85F80" w:rsidRPr="00E85F80" w:rsidRDefault="00E85F80" w:rsidP="00C042A2">
            <w:pPr>
              <w:spacing w:after="0" w:line="240" w:lineRule="auto"/>
              <w:ind w:left="142" w:right="168"/>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Identification of security to be acquired</w:t>
            </w:r>
          </w:p>
        </w:tc>
        <w:tc>
          <w:tcPr>
            <w:tcW w:w="553"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5088C642"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2A2AB5B5"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r>
      <w:tr w:rsidR="00E85F80" w:rsidRPr="00E85F80" w14:paraId="6AD30124" w14:textId="77777777" w:rsidTr="00AB5921">
        <w:trPr>
          <w:trHeight w:val="224"/>
          <w:jc w:val="center"/>
        </w:trPr>
        <w:tc>
          <w:tcPr>
            <w:tcW w:w="5926"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146C5A8B" w14:textId="77777777" w:rsidR="00E85F80" w:rsidRPr="00E85F80" w:rsidRDefault="00E85F80" w:rsidP="00C042A2">
            <w:pPr>
              <w:spacing w:after="0" w:line="240" w:lineRule="auto"/>
              <w:ind w:left="142" w:right="168"/>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 xml:space="preserve">I.D. number of national persons TIN, citizen’s </w:t>
            </w:r>
            <w:proofErr w:type="gramStart"/>
            <w:r w:rsidRPr="00E85F80">
              <w:rPr>
                <w:rFonts w:eastAsia="Arial Unicode MS" w:cs="Arial Unicode MS"/>
                <w:color w:val="5B9BD5"/>
                <w:sz w:val="14"/>
                <w:szCs w:val="14"/>
                <w:lang w:eastAsia="es-ES" w:bidi="es-ES"/>
                <w14:textFill>
                  <w14:solidFill>
                    <w14:srgbClr w14:val="5B9BD5">
                      <w14:lumMod w14:val="75000"/>
                    </w14:srgbClr>
                  </w14:solidFill>
                </w14:textFill>
              </w:rPr>
              <w:t>I.D.</w:t>
            </w:r>
            <w:proofErr w:type="gramEnd"/>
            <w:r w:rsidRPr="00E85F80">
              <w:rPr>
                <w:rFonts w:eastAsia="Arial Unicode MS" w:cs="Arial Unicode MS"/>
                <w:color w:val="5B9BD5"/>
                <w:sz w:val="14"/>
                <w:szCs w:val="14"/>
                <w:lang w:eastAsia="es-ES" w:bidi="es-ES"/>
                <w14:textFill>
                  <w14:solidFill>
                    <w14:srgbClr w14:val="5B9BD5">
                      <w14:lumMod w14:val="75000"/>
                    </w14:srgbClr>
                  </w14:solidFill>
                </w14:textFill>
              </w:rPr>
              <w:t xml:space="preserve"> or I.D. card of the investor</w:t>
            </w:r>
          </w:p>
        </w:tc>
        <w:tc>
          <w:tcPr>
            <w:tcW w:w="553"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1BDA3973"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1DDAB809"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r>
      <w:tr w:rsidR="00E85F80" w:rsidRPr="00E85F80" w14:paraId="4E4F2A5F" w14:textId="77777777" w:rsidTr="00AB5921">
        <w:trPr>
          <w:trHeight w:val="672"/>
          <w:jc w:val="center"/>
        </w:trPr>
        <w:tc>
          <w:tcPr>
            <w:tcW w:w="5926"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3BDFB40B" w14:textId="77777777" w:rsidR="00E85F80" w:rsidRPr="00E85F80" w:rsidRDefault="00E85F80" w:rsidP="00C042A2">
            <w:pPr>
              <w:spacing w:after="0" w:line="240" w:lineRule="auto"/>
              <w:ind w:left="142" w:right="168"/>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Foreign Investors: I.D. number; foreigner's I.D., valid passport for holders of tourist or visitor visas or any other type of visa valid for less than three (3) months, I.D. card issued by the Protocol Department of the Ministry of Foreign Affairs for holders of Preferential Visas (diplomatic, consular, service, international organization or administrative</w:t>
            </w:r>
            <w:proofErr w:type="gramStart"/>
            <w:r w:rsidRPr="00E85F80">
              <w:rPr>
                <w:rFonts w:eastAsia="Arial Unicode MS" w:cs="Arial Unicode MS"/>
                <w:color w:val="5B9BD5"/>
                <w:sz w:val="14"/>
                <w:szCs w:val="14"/>
                <w:lang w:eastAsia="es-ES" w:bidi="es-ES"/>
                <w14:textFill>
                  <w14:solidFill>
                    <w14:srgbClr w14:val="5B9BD5">
                      <w14:lumMod w14:val="75000"/>
                    </w14:srgbClr>
                  </w14:solidFill>
                </w14:textFill>
              </w:rPr>
              <w:t>, as the case may be, and</w:t>
            </w:r>
            <w:proofErr w:type="gramEnd"/>
            <w:r w:rsidRPr="00E85F80">
              <w:rPr>
                <w:rFonts w:eastAsia="Arial Unicode MS" w:cs="Arial Unicode MS"/>
                <w:color w:val="5B9BD5"/>
                <w:sz w:val="14"/>
                <w:szCs w:val="14"/>
                <w:lang w:eastAsia="es-ES" w:bidi="es-ES"/>
                <w14:textFill>
                  <w14:solidFill>
                    <w14:srgbClr w14:val="5B9BD5">
                      <w14:lumMod w14:val="75000"/>
                    </w14:srgbClr>
                  </w14:solidFill>
                </w14:textFill>
              </w:rPr>
              <w:t xml:space="preserve"> in accordance with the current immigration regulations).</w:t>
            </w:r>
          </w:p>
        </w:tc>
        <w:tc>
          <w:tcPr>
            <w:tcW w:w="553"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100AEE7A"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0E6B880E"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r>
      <w:tr w:rsidR="00E85F80" w:rsidRPr="00E85F80" w14:paraId="41B1BE14" w14:textId="77777777" w:rsidTr="00AB5921">
        <w:trPr>
          <w:trHeight w:val="448"/>
          <w:jc w:val="center"/>
        </w:trPr>
        <w:tc>
          <w:tcPr>
            <w:tcW w:w="5926"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4E195B92" w14:textId="77777777" w:rsidR="00E85F80" w:rsidRPr="00E85F80" w:rsidRDefault="00E85F80" w:rsidP="00C042A2">
            <w:pPr>
              <w:spacing w:after="0" w:line="240" w:lineRule="auto"/>
              <w:ind w:left="142" w:right="168"/>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National tourists from member countries of the Andean Community of Nations. I.D. Number: valid and current I.D. in the issuing country with which they entered Colombia.</w:t>
            </w:r>
          </w:p>
        </w:tc>
        <w:tc>
          <w:tcPr>
            <w:tcW w:w="553"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3DDAE0CE"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10EF26D7"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p>
        </w:tc>
      </w:tr>
      <w:tr w:rsidR="00E85F80" w:rsidRPr="00E85F80" w14:paraId="46EA3E7B" w14:textId="77777777" w:rsidTr="00AB5921">
        <w:trPr>
          <w:trHeight w:val="224"/>
          <w:jc w:val="center"/>
        </w:trPr>
        <w:tc>
          <w:tcPr>
            <w:tcW w:w="5926"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5AD5D30A" w14:textId="77777777" w:rsidR="00E85F80" w:rsidRPr="00E85F80" w:rsidRDefault="00E85F80" w:rsidP="00C042A2">
            <w:pPr>
              <w:spacing w:after="0" w:line="240" w:lineRule="auto"/>
              <w:ind w:left="142" w:right="168"/>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 xml:space="preserve">Full name and last names of the representative, </w:t>
            </w:r>
            <w:proofErr w:type="gramStart"/>
            <w:r w:rsidRPr="00E85F80">
              <w:rPr>
                <w:rFonts w:eastAsia="Arial Unicode MS" w:cs="Arial Unicode MS"/>
                <w:color w:val="5B9BD5"/>
                <w:sz w:val="14"/>
                <w:szCs w:val="14"/>
                <w:lang w:eastAsia="es-ES" w:bidi="es-ES"/>
                <w14:textFill>
                  <w14:solidFill>
                    <w14:srgbClr w14:val="5B9BD5">
                      <w14:lumMod w14:val="75000"/>
                    </w14:srgbClr>
                  </w14:solidFill>
                </w14:textFill>
              </w:rPr>
              <w:t>attorney</w:t>
            </w:r>
            <w:proofErr w:type="gramEnd"/>
            <w:r w:rsidRPr="00E85F80">
              <w:rPr>
                <w:rFonts w:eastAsia="Arial Unicode MS" w:cs="Arial Unicode MS"/>
                <w:color w:val="5B9BD5"/>
                <w:sz w:val="14"/>
                <w:szCs w:val="14"/>
                <w:lang w:eastAsia="es-ES" w:bidi="es-ES"/>
                <w14:textFill>
                  <w14:solidFill>
                    <w14:srgbClr w14:val="5B9BD5">
                      <w14:lumMod w14:val="75000"/>
                    </w14:srgbClr>
                  </w14:solidFill>
                </w14:textFill>
              </w:rPr>
              <w:t xml:space="preserve"> and I.D. number of the investor</w:t>
            </w:r>
          </w:p>
        </w:tc>
        <w:tc>
          <w:tcPr>
            <w:tcW w:w="553"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580E154D"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2F540FAD"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r>
      <w:tr w:rsidR="00E85F80" w:rsidRPr="00E85F80" w14:paraId="78F90EFF" w14:textId="77777777" w:rsidTr="00AB5921">
        <w:trPr>
          <w:trHeight w:val="224"/>
          <w:jc w:val="center"/>
        </w:trPr>
        <w:tc>
          <w:tcPr>
            <w:tcW w:w="5926"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236BDE56" w14:textId="77777777" w:rsidR="00E85F80" w:rsidRPr="00E85F80" w:rsidRDefault="00E85F80" w:rsidP="00C042A2">
            <w:pPr>
              <w:spacing w:after="0" w:line="240" w:lineRule="auto"/>
              <w:ind w:left="142" w:right="168"/>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Address and telephone number of the legal representative</w:t>
            </w:r>
          </w:p>
        </w:tc>
        <w:tc>
          <w:tcPr>
            <w:tcW w:w="553"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7C3D410F"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54F5E904"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r>
      <w:tr w:rsidR="00E85F80" w:rsidRPr="00E85F80" w14:paraId="79FBD2F3" w14:textId="77777777" w:rsidTr="00AB5921">
        <w:trPr>
          <w:trHeight w:val="224"/>
          <w:jc w:val="center"/>
        </w:trPr>
        <w:tc>
          <w:tcPr>
            <w:tcW w:w="5926"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05C156F5" w14:textId="77777777" w:rsidR="00E85F80" w:rsidRPr="00E85F80" w:rsidRDefault="00E85F80" w:rsidP="00C042A2">
            <w:pPr>
              <w:spacing w:after="0" w:line="240" w:lineRule="auto"/>
              <w:ind w:left="142" w:right="168"/>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Place and date of birth of the investor</w:t>
            </w:r>
          </w:p>
        </w:tc>
        <w:tc>
          <w:tcPr>
            <w:tcW w:w="553"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6531B477"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3EE533AA"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p>
        </w:tc>
      </w:tr>
      <w:tr w:rsidR="00E85F80" w:rsidRPr="00E85F80" w14:paraId="5F6F84F8" w14:textId="77777777" w:rsidTr="00AB5921">
        <w:trPr>
          <w:trHeight w:val="238"/>
          <w:jc w:val="center"/>
        </w:trPr>
        <w:tc>
          <w:tcPr>
            <w:tcW w:w="5926"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4CD8BE72" w14:textId="77777777" w:rsidR="00E85F80" w:rsidRPr="00E85F80" w:rsidRDefault="00E85F80" w:rsidP="00C042A2">
            <w:pPr>
              <w:spacing w:after="0" w:line="240" w:lineRule="auto"/>
              <w:ind w:left="142" w:right="168"/>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Address and telephone number of the residence of the investor</w:t>
            </w:r>
          </w:p>
        </w:tc>
        <w:tc>
          <w:tcPr>
            <w:tcW w:w="553"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320EF328"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029313E9"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p>
        </w:tc>
      </w:tr>
      <w:tr w:rsidR="00E85F80" w:rsidRPr="00E85F80" w14:paraId="357EC3B4" w14:textId="77777777" w:rsidTr="00AB5921">
        <w:trPr>
          <w:trHeight w:val="224"/>
          <w:jc w:val="center"/>
        </w:trPr>
        <w:tc>
          <w:tcPr>
            <w:tcW w:w="5926"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544D0832" w14:textId="77777777" w:rsidR="00E85F80" w:rsidRPr="00E85F80" w:rsidRDefault="00E85F80" w:rsidP="00C042A2">
            <w:pPr>
              <w:spacing w:after="0" w:line="240" w:lineRule="auto"/>
              <w:ind w:left="142" w:right="168"/>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 xml:space="preserve">Occupation, </w:t>
            </w:r>
            <w:proofErr w:type="gramStart"/>
            <w:r w:rsidRPr="00E85F80">
              <w:rPr>
                <w:rFonts w:eastAsia="Arial Unicode MS" w:cs="Arial Unicode MS"/>
                <w:color w:val="5B9BD5"/>
                <w:sz w:val="14"/>
                <w:szCs w:val="14"/>
                <w:lang w:eastAsia="es-ES" w:bidi="es-ES"/>
                <w14:textFill>
                  <w14:solidFill>
                    <w14:srgbClr w14:val="5B9BD5">
                      <w14:lumMod w14:val="75000"/>
                    </w14:srgbClr>
                  </w14:solidFill>
                </w14:textFill>
              </w:rPr>
              <w:t>job</w:t>
            </w:r>
            <w:proofErr w:type="gramEnd"/>
            <w:r w:rsidRPr="00E85F80">
              <w:rPr>
                <w:rFonts w:eastAsia="Arial Unicode MS" w:cs="Arial Unicode MS"/>
                <w:color w:val="5B9BD5"/>
                <w:sz w:val="14"/>
                <w:szCs w:val="14"/>
                <w:lang w:eastAsia="es-ES" w:bidi="es-ES"/>
                <w14:textFill>
                  <w14:solidFill>
                    <w14:srgbClr w14:val="5B9BD5">
                      <w14:lumMod w14:val="75000"/>
                    </w14:srgbClr>
                  </w14:solidFill>
                </w14:textFill>
              </w:rPr>
              <w:t xml:space="preserve"> and profession of the investor</w:t>
            </w:r>
          </w:p>
        </w:tc>
        <w:tc>
          <w:tcPr>
            <w:tcW w:w="553"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2A403870"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7CC1E518"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p>
        </w:tc>
      </w:tr>
      <w:tr w:rsidR="00E85F80" w:rsidRPr="00E85F80" w14:paraId="7D6F48D1" w14:textId="77777777" w:rsidTr="00AB5921">
        <w:trPr>
          <w:trHeight w:val="448"/>
          <w:jc w:val="center"/>
        </w:trPr>
        <w:tc>
          <w:tcPr>
            <w:tcW w:w="5926"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5B269F24" w14:textId="77777777" w:rsidR="00E85F80" w:rsidRPr="00E85F80" w:rsidRDefault="00E85F80" w:rsidP="00C042A2">
            <w:pPr>
              <w:spacing w:after="0" w:line="240" w:lineRule="auto"/>
              <w:ind w:left="142" w:right="168"/>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Description of the investor’s activity - independent, dependent, position - main economic activity: commercial, industrial, transportation, construction, agroindustry, financial services, etc., as established in the ISIC Code.</w:t>
            </w:r>
          </w:p>
        </w:tc>
        <w:tc>
          <w:tcPr>
            <w:tcW w:w="553"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73B3FE3E"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5B2D8C61"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r>
      <w:tr w:rsidR="00E85F80" w:rsidRPr="00E85F80" w14:paraId="74B537FE" w14:textId="77777777" w:rsidTr="00AB5921">
        <w:trPr>
          <w:trHeight w:val="448"/>
          <w:jc w:val="center"/>
        </w:trPr>
        <w:tc>
          <w:tcPr>
            <w:tcW w:w="5926"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31496320" w14:textId="77777777" w:rsidR="00E85F80" w:rsidRPr="00E85F80" w:rsidRDefault="00E85F80" w:rsidP="00C042A2">
            <w:pPr>
              <w:spacing w:after="0" w:line="240" w:lineRule="auto"/>
              <w:ind w:left="142" w:right="168"/>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Name, address, fax and telephone number of the office, company or business in which the investor works, if it applies. Address, telephone number, fax and city of the main office and branch or agency that acted as Investor.</w:t>
            </w:r>
          </w:p>
        </w:tc>
        <w:tc>
          <w:tcPr>
            <w:tcW w:w="553"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676C9D5C"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4CDDD15A"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r>
      <w:tr w:rsidR="00E85F80" w:rsidRPr="00E85F80" w14:paraId="675B01B8" w14:textId="77777777" w:rsidTr="00AB5921">
        <w:trPr>
          <w:trHeight w:val="224"/>
          <w:jc w:val="center"/>
        </w:trPr>
        <w:tc>
          <w:tcPr>
            <w:tcW w:w="5926"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6732045B" w14:textId="77777777" w:rsidR="00E85F80" w:rsidRPr="00E85F80" w:rsidRDefault="00E85F80" w:rsidP="00C042A2">
            <w:pPr>
              <w:spacing w:after="0" w:line="240" w:lineRule="auto"/>
              <w:ind w:left="142" w:right="168"/>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 xml:space="preserve">Identification of shareholders or partners that directly or indirectly hold 5% of the share capital, </w:t>
            </w:r>
            <w:proofErr w:type="gramStart"/>
            <w:r w:rsidRPr="00E85F80">
              <w:rPr>
                <w:rFonts w:eastAsia="Arial Unicode MS" w:cs="Arial Unicode MS"/>
                <w:color w:val="5B9BD5"/>
                <w:sz w:val="14"/>
                <w:szCs w:val="14"/>
                <w:lang w:eastAsia="es-ES" w:bidi="es-ES"/>
                <w14:textFill>
                  <w14:solidFill>
                    <w14:srgbClr w14:val="5B9BD5">
                      <w14:lumMod w14:val="75000"/>
                    </w14:srgbClr>
                  </w14:solidFill>
                </w14:textFill>
              </w:rPr>
              <w:t>contribution</w:t>
            </w:r>
            <w:proofErr w:type="gramEnd"/>
            <w:r w:rsidRPr="00E85F80">
              <w:rPr>
                <w:rFonts w:eastAsia="Arial Unicode MS" w:cs="Arial Unicode MS"/>
                <w:color w:val="5B9BD5"/>
                <w:sz w:val="14"/>
                <w:szCs w:val="14"/>
                <w:lang w:eastAsia="es-ES" w:bidi="es-ES"/>
                <w14:textFill>
                  <w14:solidFill>
                    <w14:srgbClr w14:val="5B9BD5">
                      <w14:lumMod w14:val="75000"/>
                    </w14:srgbClr>
                  </w14:solidFill>
                </w14:textFill>
              </w:rPr>
              <w:t xml:space="preserve"> or share.</w:t>
            </w:r>
          </w:p>
        </w:tc>
        <w:tc>
          <w:tcPr>
            <w:tcW w:w="553"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04DE0548"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547D560D"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r>
      <w:tr w:rsidR="00E85F80" w:rsidRPr="00E85F80" w14:paraId="2EC498B8" w14:textId="77777777" w:rsidTr="00AB5921">
        <w:trPr>
          <w:trHeight w:val="224"/>
          <w:jc w:val="center"/>
        </w:trPr>
        <w:tc>
          <w:tcPr>
            <w:tcW w:w="5926"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295DD73F" w14:textId="77777777" w:rsidR="00E85F80" w:rsidRPr="00E85F80" w:rsidRDefault="00E85F80" w:rsidP="00C042A2">
            <w:pPr>
              <w:spacing w:after="0" w:line="240" w:lineRule="auto"/>
              <w:ind w:left="142" w:right="168"/>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Type of investor company: private, public, mixed.</w:t>
            </w:r>
          </w:p>
        </w:tc>
        <w:tc>
          <w:tcPr>
            <w:tcW w:w="553"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101758D7"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6AB7F87C"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r>
      <w:tr w:rsidR="00E85F80" w:rsidRPr="00E85F80" w14:paraId="2073FCD8" w14:textId="77777777" w:rsidTr="00AB5921">
        <w:trPr>
          <w:trHeight w:val="224"/>
          <w:jc w:val="center"/>
        </w:trPr>
        <w:tc>
          <w:tcPr>
            <w:tcW w:w="5926"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4723A55B" w14:textId="77777777" w:rsidR="00E85F80" w:rsidRPr="00E85F80" w:rsidRDefault="00E85F80" w:rsidP="00C042A2">
            <w:pPr>
              <w:spacing w:after="0" w:line="240" w:lineRule="auto"/>
              <w:ind w:left="142" w:right="168"/>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Declaration of the origin of the assets and/or fund of the Investor, according to the cost (may be an annex).</w:t>
            </w:r>
          </w:p>
        </w:tc>
        <w:tc>
          <w:tcPr>
            <w:tcW w:w="553"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3D8B7E15"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2B70C64B"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r>
      <w:tr w:rsidR="00E85F80" w:rsidRPr="00E85F80" w14:paraId="31BBC512" w14:textId="77777777" w:rsidTr="00AB5921">
        <w:trPr>
          <w:trHeight w:val="224"/>
          <w:jc w:val="center"/>
        </w:trPr>
        <w:tc>
          <w:tcPr>
            <w:tcW w:w="5926"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1CB7BCE4" w14:textId="77777777" w:rsidR="00E85F80" w:rsidRPr="00E85F80" w:rsidRDefault="00E85F80" w:rsidP="00C042A2">
            <w:pPr>
              <w:spacing w:after="0" w:line="240" w:lineRule="auto"/>
              <w:ind w:left="142" w:right="168"/>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If the investor depends on a third party, detailed information on the third party.</w:t>
            </w:r>
          </w:p>
        </w:tc>
        <w:tc>
          <w:tcPr>
            <w:tcW w:w="553" w:type="dxa"/>
            <w:tcBorders>
              <w:top w:val="single" w:sz="4" w:space="0" w:color="2E74B5"/>
              <w:left w:val="single" w:sz="4" w:space="0" w:color="2E74B5"/>
              <w:bottom w:val="single" w:sz="4" w:space="0" w:color="2E74B5"/>
              <w:right w:val="single" w:sz="4" w:space="0" w:color="2E74B5"/>
            </w:tcBorders>
            <w:shd w:val="clear" w:color="auto" w:fill="FFFFFF"/>
            <w:vAlign w:val="center"/>
          </w:tcPr>
          <w:p w14:paraId="4FD6492C"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6AC20EB9" w14:textId="77777777" w:rsidR="00E85F80" w:rsidRPr="00E85F80" w:rsidRDefault="00E85F80" w:rsidP="00C042A2">
            <w:pPr>
              <w:spacing w:after="0" w:line="240" w:lineRule="auto"/>
              <w:ind w:left="142" w:right="168"/>
              <w:jc w:val="center"/>
              <w:rPr>
                <w:rFonts w:eastAsia="Arial Unicode MS" w:cs="Arial"/>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r>
      <w:bookmarkEnd w:id="8"/>
    </w:tbl>
    <w:p w14:paraId="29E0B83D" w14:textId="77777777" w:rsidR="00E85F80" w:rsidRPr="00867420" w:rsidRDefault="00E85F80" w:rsidP="00C042A2">
      <w:pPr>
        <w:pStyle w:val="Estilo3"/>
        <w:rPr>
          <w:rFonts w:eastAsia="Arial" w:cs="Arial"/>
          <w:sz w:val="22"/>
          <w:szCs w:val="22"/>
        </w:rPr>
      </w:pPr>
    </w:p>
    <w:p w14:paraId="52446B4E" w14:textId="40C95F6B" w:rsidR="00C50E41" w:rsidRPr="00867420" w:rsidRDefault="00C50E41" w:rsidP="00C042A2">
      <w:pPr>
        <w:pStyle w:val="Estilo3"/>
        <w:rPr>
          <w:szCs w:val="22"/>
        </w:rPr>
      </w:pPr>
      <w:r w:rsidRPr="00867420">
        <w:t>Source: Compliance Department</w:t>
      </w:r>
    </w:p>
    <w:p w14:paraId="25D56B5A" w14:textId="77777777" w:rsidR="00C50E41" w:rsidRPr="00867420" w:rsidRDefault="00C50E41" w:rsidP="00C042A2">
      <w:pPr>
        <w:autoSpaceDE w:val="0"/>
        <w:autoSpaceDN w:val="0"/>
        <w:spacing w:after="0" w:line="240" w:lineRule="auto"/>
        <w:jc w:val="both"/>
        <w:rPr>
          <w:rFonts w:eastAsia="Arial" w:cs="Arial"/>
          <w:sz w:val="22"/>
        </w:rPr>
      </w:pPr>
    </w:p>
    <w:p w14:paraId="07841146" w14:textId="064D39A4" w:rsidR="00C50E41" w:rsidRPr="00867420" w:rsidRDefault="00C50E41" w:rsidP="00C042A2">
      <w:pPr>
        <w:autoSpaceDE w:val="0"/>
        <w:autoSpaceDN w:val="0"/>
        <w:spacing w:after="0" w:line="240" w:lineRule="auto"/>
        <w:jc w:val="both"/>
        <w:rPr>
          <w:rFonts w:eastAsia="Arial" w:cs="Arial"/>
          <w:sz w:val="22"/>
        </w:rPr>
      </w:pPr>
      <w:r w:rsidRPr="00867420">
        <w:rPr>
          <w:sz w:val="22"/>
        </w:rPr>
        <w:t xml:space="preserve">If the potential Shareholder or Investors’ activity involves transactions in foreign currency, the form must include spaces to collect the following information: </w:t>
      </w:r>
    </w:p>
    <w:p w14:paraId="5BA908B7" w14:textId="7EC040E6" w:rsidR="00A53219" w:rsidRPr="00867420" w:rsidRDefault="00A53219" w:rsidP="00C042A2">
      <w:pPr>
        <w:autoSpaceDE w:val="0"/>
        <w:autoSpaceDN w:val="0"/>
        <w:spacing w:after="0" w:line="240" w:lineRule="auto"/>
        <w:jc w:val="both"/>
        <w:rPr>
          <w:rFonts w:eastAsia="Arial" w:cs="Arial"/>
          <w:sz w:val="22"/>
        </w:rPr>
      </w:pPr>
    </w:p>
    <w:p w14:paraId="3086B164" w14:textId="06D7023A" w:rsidR="00A53219" w:rsidRPr="00867420" w:rsidRDefault="00A53219" w:rsidP="00C042A2">
      <w:pPr>
        <w:pStyle w:val="Estilo3"/>
        <w:rPr>
          <w:rFonts w:eastAsia="Arial" w:cs="Arial"/>
          <w:sz w:val="22"/>
          <w:szCs w:val="22"/>
        </w:rPr>
      </w:pPr>
      <w:r w:rsidRPr="00867420">
        <w:t>Illustration</w:t>
      </w:r>
      <w:r w:rsidR="00C042A2">
        <w:t xml:space="preserve"> </w:t>
      </w:r>
      <w:r w:rsidR="009A185E">
        <w:fldChar w:fldCharType="begin"/>
      </w:r>
      <w:r w:rsidR="009A185E">
        <w:instrText xml:space="preserve"> SEQ Ilustración \* ARABIC </w:instrText>
      </w:r>
      <w:r w:rsidR="009A185E">
        <w:fldChar w:fldCharType="separate"/>
      </w:r>
      <w:r w:rsidRPr="00867420">
        <w:rPr>
          <w:noProof/>
        </w:rPr>
        <w:t>2</w:t>
      </w:r>
      <w:r w:rsidR="009A185E">
        <w:rPr>
          <w:noProof/>
        </w:rPr>
        <w:fldChar w:fldCharType="end"/>
      </w:r>
      <w:r w:rsidRPr="00867420">
        <w:t>: field in the association form when it is a transaction in foreign currency.</w:t>
      </w:r>
    </w:p>
    <w:p w14:paraId="70975908" w14:textId="77777777" w:rsidR="00C50E41" w:rsidRPr="00867420" w:rsidRDefault="00C50E41" w:rsidP="00C042A2">
      <w:pPr>
        <w:autoSpaceDE w:val="0"/>
        <w:autoSpaceDN w:val="0"/>
        <w:spacing w:after="0" w:line="240" w:lineRule="auto"/>
        <w:jc w:val="both"/>
        <w:rPr>
          <w:rFonts w:eastAsia="Arial" w:cs="Arial"/>
          <w:sz w:val="22"/>
        </w:rPr>
      </w:pPr>
    </w:p>
    <w:tbl>
      <w:tblPr>
        <w:tblOverlap w:val="never"/>
        <w:tblW w:w="3234" w:type="pct"/>
        <w:jc w:val="center"/>
        <w:tblCellMar>
          <w:left w:w="10" w:type="dxa"/>
          <w:right w:w="10" w:type="dxa"/>
        </w:tblCellMar>
        <w:tblLook w:val="0000" w:firstRow="0" w:lastRow="0" w:firstColumn="0" w:lastColumn="0" w:noHBand="0" w:noVBand="0"/>
      </w:tblPr>
      <w:tblGrid>
        <w:gridCol w:w="4650"/>
        <w:gridCol w:w="553"/>
        <w:gridCol w:w="526"/>
      </w:tblGrid>
      <w:tr w:rsidR="00E85F80" w:rsidRPr="00E85F80" w14:paraId="60F6B37E" w14:textId="77777777" w:rsidTr="00E85F80">
        <w:trPr>
          <w:trHeight w:val="267"/>
          <w:jc w:val="center"/>
        </w:trPr>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4902B25A" w14:textId="77777777" w:rsidR="00E85F80" w:rsidRPr="00E85F80" w:rsidRDefault="00E85F80" w:rsidP="00C042A2">
            <w:pPr>
              <w:spacing w:after="0" w:line="240" w:lineRule="auto"/>
              <w:ind w:left="142" w:right="168"/>
              <w:jc w:val="center"/>
              <w:rPr>
                <w:rFonts w:eastAsia="Arial Unicode MS" w:cs="Arial Unicode MS"/>
                <w:b/>
                <w:color w:val="5B87D5"/>
                <w:sz w:val="16"/>
                <w:szCs w:val="16"/>
                <w:lang w:eastAsia="es-ES" w:bidi="es-ES"/>
              </w:rPr>
            </w:pPr>
            <w:r w:rsidRPr="00E85F80">
              <w:rPr>
                <w:rFonts w:eastAsia="Arial Unicode MS" w:cs="Arial Unicode MS"/>
                <w:b/>
                <w:color w:val="5B87D5"/>
                <w:sz w:val="16"/>
                <w:szCs w:val="16"/>
                <w:lang w:eastAsia="es-ES" w:bidi="es-ES"/>
              </w:rPr>
              <w:t>DESCRIPTION</w:t>
            </w: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078110F3" w14:textId="77777777" w:rsidR="00E85F80" w:rsidRPr="00E85F80" w:rsidRDefault="00E85F80" w:rsidP="00C042A2">
            <w:pPr>
              <w:spacing w:after="0" w:line="240" w:lineRule="auto"/>
              <w:ind w:left="142" w:right="168"/>
              <w:jc w:val="center"/>
              <w:rPr>
                <w:rFonts w:eastAsia="Arial Unicode MS" w:cs="Arial Unicode MS"/>
                <w:b/>
                <w:color w:val="5B87D5"/>
                <w:sz w:val="16"/>
                <w:szCs w:val="16"/>
                <w:lang w:eastAsia="es-ES" w:bidi="es-ES"/>
              </w:rPr>
            </w:pPr>
            <w:proofErr w:type="spellStart"/>
            <w:r w:rsidRPr="00E85F80">
              <w:rPr>
                <w:rFonts w:eastAsia="Arial Unicode MS" w:cs="Arial Unicode MS"/>
                <w:b/>
                <w:color w:val="5B87D5"/>
                <w:sz w:val="16"/>
                <w:szCs w:val="16"/>
                <w:lang w:eastAsia="es-ES" w:bidi="es-ES"/>
              </w:rPr>
              <w:t>PN</w:t>
            </w:r>
            <w:proofErr w:type="spellEnd"/>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7D73DD1E" w14:textId="77777777" w:rsidR="00E85F80" w:rsidRPr="00E85F80" w:rsidRDefault="00E85F80" w:rsidP="00C042A2">
            <w:pPr>
              <w:spacing w:after="0" w:line="240" w:lineRule="auto"/>
              <w:ind w:left="142" w:right="168"/>
              <w:jc w:val="center"/>
              <w:rPr>
                <w:rFonts w:eastAsia="Arial Unicode MS" w:cs="Arial Unicode MS"/>
                <w:b/>
                <w:color w:val="5B87D5"/>
                <w:sz w:val="16"/>
                <w:szCs w:val="16"/>
                <w:lang w:eastAsia="es-ES" w:bidi="es-ES"/>
              </w:rPr>
            </w:pPr>
            <w:r w:rsidRPr="00E85F80">
              <w:rPr>
                <w:rFonts w:eastAsia="Arial Unicode MS" w:cs="Arial Unicode MS"/>
                <w:b/>
                <w:color w:val="5B87D5"/>
                <w:sz w:val="16"/>
                <w:szCs w:val="16"/>
                <w:lang w:eastAsia="es-ES" w:bidi="es-ES"/>
              </w:rPr>
              <w:t>PJ</w:t>
            </w:r>
          </w:p>
        </w:tc>
      </w:tr>
      <w:tr w:rsidR="00E85F80" w:rsidRPr="00E85F80" w14:paraId="75CE8731" w14:textId="77777777" w:rsidTr="00E85F80">
        <w:trPr>
          <w:trHeight w:val="237"/>
          <w:jc w:val="center"/>
        </w:trPr>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7350E2AE" w14:textId="77777777" w:rsidR="00E85F80" w:rsidRPr="00E85F80" w:rsidRDefault="00E85F80" w:rsidP="00C042A2">
            <w:pPr>
              <w:spacing w:after="0" w:line="240" w:lineRule="auto"/>
              <w:ind w:left="142" w:right="168"/>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The type of operations in foreign currency the investor normally performs.</w:t>
            </w: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01151B5C" w14:textId="77777777" w:rsidR="00E85F80" w:rsidRPr="00E85F80" w:rsidRDefault="00E85F80" w:rsidP="00C042A2">
            <w:pPr>
              <w:spacing w:after="0" w:line="240" w:lineRule="auto"/>
              <w:ind w:left="142" w:right="168"/>
              <w:jc w:val="center"/>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21C74C80" w14:textId="77777777" w:rsidR="00E85F80" w:rsidRPr="00E85F80" w:rsidRDefault="00E85F80" w:rsidP="00C042A2">
            <w:pPr>
              <w:spacing w:after="0" w:line="240" w:lineRule="auto"/>
              <w:ind w:left="142" w:right="168"/>
              <w:jc w:val="center"/>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r>
      <w:tr w:rsidR="00E85F80" w:rsidRPr="00E85F80" w14:paraId="1DCBEE26" w14:textId="77777777" w:rsidTr="00E85F80">
        <w:trPr>
          <w:trHeight w:val="490"/>
          <w:jc w:val="center"/>
        </w:trPr>
        <w:tc>
          <w:tcPr>
            <w:tcW w:w="0" w:type="auto"/>
            <w:tcBorders>
              <w:top w:val="single" w:sz="4" w:space="0" w:color="2E74B5"/>
              <w:left w:val="single" w:sz="4" w:space="0" w:color="2E74B5"/>
              <w:bottom w:val="single" w:sz="4" w:space="0" w:color="2E74B5"/>
              <w:right w:val="single" w:sz="4" w:space="0" w:color="2E74B5"/>
            </w:tcBorders>
            <w:shd w:val="clear" w:color="auto" w:fill="FFFFFF"/>
            <w:vAlign w:val="bottom"/>
          </w:tcPr>
          <w:p w14:paraId="0F254D17" w14:textId="77777777" w:rsidR="00E85F80" w:rsidRPr="00E85F80" w:rsidRDefault="00E85F80" w:rsidP="00C042A2">
            <w:pPr>
              <w:spacing w:after="0" w:line="240" w:lineRule="auto"/>
              <w:ind w:left="142" w:right="168"/>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 xml:space="preserve">Financial products the investor owns in foreign currency, specifying at least: type of product, identification of the product, entity, amount, city, </w:t>
            </w:r>
            <w:proofErr w:type="gramStart"/>
            <w:r w:rsidRPr="00E85F80">
              <w:rPr>
                <w:rFonts w:eastAsia="Arial Unicode MS" w:cs="Arial Unicode MS"/>
                <w:color w:val="5B9BD5"/>
                <w:sz w:val="14"/>
                <w:szCs w:val="14"/>
                <w:lang w:eastAsia="es-ES" w:bidi="es-ES"/>
                <w14:textFill>
                  <w14:solidFill>
                    <w14:srgbClr w14:val="5B9BD5">
                      <w14:lumMod w14:val="75000"/>
                    </w14:srgbClr>
                  </w14:solidFill>
                </w14:textFill>
              </w:rPr>
              <w:t>country</w:t>
            </w:r>
            <w:proofErr w:type="gramEnd"/>
            <w:r w:rsidRPr="00E85F80">
              <w:rPr>
                <w:rFonts w:eastAsia="Arial Unicode MS" w:cs="Arial Unicode MS"/>
                <w:color w:val="5B9BD5"/>
                <w:sz w:val="14"/>
                <w:szCs w:val="14"/>
                <w:lang w:eastAsia="es-ES" w:bidi="es-ES"/>
                <w14:textFill>
                  <w14:solidFill>
                    <w14:srgbClr w14:val="5B9BD5">
                      <w14:lumMod w14:val="75000"/>
                    </w14:srgbClr>
                  </w14:solidFill>
                </w14:textFill>
              </w:rPr>
              <w:t xml:space="preserve"> and currency.</w:t>
            </w: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250B24FA" w14:textId="77777777" w:rsidR="00E85F80" w:rsidRPr="00E85F80" w:rsidRDefault="00E85F80" w:rsidP="00C042A2">
            <w:pPr>
              <w:spacing w:after="0" w:line="240" w:lineRule="auto"/>
              <w:ind w:left="142" w:right="168"/>
              <w:jc w:val="center"/>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c>
          <w:tcPr>
            <w:tcW w:w="0" w:type="auto"/>
            <w:tcBorders>
              <w:top w:val="single" w:sz="4" w:space="0" w:color="2E74B5"/>
              <w:left w:val="single" w:sz="4" w:space="0" w:color="2E74B5"/>
              <w:bottom w:val="single" w:sz="4" w:space="0" w:color="2E74B5"/>
              <w:right w:val="single" w:sz="4" w:space="0" w:color="2E74B5"/>
            </w:tcBorders>
            <w:shd w:val="clear" w:color="auto" w:fill="FFFFFF"/>
            <w:vAlign w:val="center"/>
          </w:tcPr>
          <w:p w14:paraId="37965872" w14:textId="77777777" w:rsidR="00E85F80" w:rsidRPr="00E85F80" w:rsidRDefault="00E85F80" w:rsidP="00C042A2">
            <w:pPr>
              <w:spacing w:after="0" w:line="240" w:lineRule="auto"/>
              <w:ind w:left="142" w:right="168"/>
              <w:jc w:val="center"/>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X</w:t>
            </w:r>
          </w:p>
        </w:tc>
      </w:tr>
    </w:tbl>
    <w:p w14:paraId="7F99812C" w14:textId="4320D201" w:rsidR="00D05634" w:rsidRPr="00867420" w:rsidRDefault="004E405E" w:rsidP="00C042A2">
      <w:pPr>
        <w:pStyle w:val="Estilo3"/>
        <w:rPr>
          <w:rFonts w:eastAsia="Arial" w:cs="Arial"/>
          <w:sz w:val="22"/>
        </w:rPr>
      </w:pPr>
      <w:r w:rsidRPr="00867420">
        <w:t>Source: Compliance Department</w:t>
      </w:r>
    </w:p>
    <w:p w14:paraId="1AD097D8" w14:textId="77777777" w:rsidR="00D05634" w:rsidRPr="00867420" w:rsidRDefault="00D05634" w:rsidP="00C042A2">
      <w:pPr>
        <w:autoSpaceDE w:val="0"/>
        <w:autoSpaceDN w:val="0"/>
        <w:spacing w:after="0" w:line="240" w:lineRule="auto"/>
        <w:ind w:left="1501"/>
        <w:jc w:val="both"/>
        <w:rPr>
          <w:rFonts w:eastAsia="Arial" w:cs="Arial"/>
          <w:sz w:val="22"/>
        </w:rPr>
      </w:pPr>
    </w:p>
    <w:p w14:paraId="1538AD37" w14:textId="77777777" w:rsidR="00C50E41" w:rsidRPr="00867420" w:rsidRDefault="00C50E41" w:rsidP="00C042A2">
      <w:pPr>
        <w:autoSpaceDE w:val="0"/>
        <w:autoSpaceDN w:val="0"/>
        <w:spacing w:after="0" w:line="240" w:lineRule="auto"/>
        <w:ind w:right="123"/>
        <w:jc w:val="both"/>
        <w:rPr>
          <w:rFonts w:eastAsia="Arial" w:cs="Arial"/>
          <w:sz w:val="22"/>
        </w:rPr>
      </w:pPr>
      <w:r w:rsidRPr="00867420">
        <w:rPr>
          <w:sz w:val="22"/>
        </w:rPr>
        <w:t>In the event the Shareholders or Investors are financially dependent on a third party the documents of the people from whom the resources used for the investment originated must be requested.</w:t>
      </w:r>
    </w:p>
    <w:p w14:paraId="3A59D3E6" w14:textId="77777777" w:rsidR="00C50E41" w:rsidRPr="00867420" w:rsidRDefault="00C50E41" w:rsidP="00C042A2">
      <w:pPr>
        <w:autoSpaceDE w:val="0"/>
        <w:autoSpaceDN w:val="0"/>
        <w:spacing w:after="0" w:line="240" w:lineRule="auto"/>
        <w:jc w:val="both"/>
        <w:rPr>
          <w:rFonts w:eastAsia="Arial" w:cs="Arial"/>
          <w:sz w:val="22"/>
        </w:rPr>
      </w:pPr>
    </w:p>
    <w:p w14:paraId="2322EBE2" w14:textId="77777777" w:rsidR="00C50E41" w:rsidRPr="00867420" w:rsidRDefault="00C50E41" w:rsidP="00C042A2">
      <w:pPr>
        <w:autoSpaceDE w:val="0"/>
        <w:autoSpaceDN w:val="0"/>
        <w:spacing w:after="0" w:line="240" w:lineRule="auto"/>
        <w:ind w:right="126"/>
        <w:jc w:val="both"/>
        <w:rPr>
          <w:rFonts w:eastAsia="Arial" w:cs="Arial"/>
          <w:sz w:val="22"/>
        </w:rPr>
      </w:pPr>
      <w:r w:rsidRPr="00867420">
        <w:rPr>
          <w:sz w:val="22"/>
        </w:rPr>
        <w:t>Legal entities under public law must also complete the association form, and their legal representatives must sign it and place the fingerprint required in this manual.</w:t>
      </w:r>
    </w:p>
    <w:p w14:paraId="0DC001F7" w14:textId="6EF55673" w:rsidR="00C50E41" w:rsidRPr="00867420" w:rsidRDefault="00C50E41" w:rsidP="00C042A2">
      <w:pPr>
        <w:autoSpaceDE w:val="0"/>
        <w:autoSpaceDN w:val="0"/>
        <w:spacing w:after="0" w:line="240" w:lineRule="auto"/>
        <w:jc w:val="both"/>
        <w:rPr>
          <w:rFonts w:eastAsia="Arial" w:cs="Arial"/>
          <w:sz w:val="22"/>
        </w:rPr>
      </w:pPr>
    </w:p>
    <w:p w14:paraId="55025AE2" w14:textId="723CB562" w:rsidR="009A185E" w:rsidRDefault="009A185E">
      <w:pPr>
        <w:rPr>
          <w:rFonts w:eastAsia="Arial" w:cs="Arial"/>
          <w:sz w:val="22"/>
        </w:rPr>
      </w:pPr>
      <w:r>
        <w:rPr>
          <w:rFonts w:eastAsia="Arial" w:cs="Arial"/>
          <w:sz w:val="22"/>
        </w:rPr>
        <w:br w:type="page"/>
      </w:r>
    </w:p>
    <w:p w14:paraId="1A181170" w14:textId="77777777" w:rsidR="00C50E41" w:rsidRPr="00867420" w:rsidRDefault="00C50E41" w:rsidP="00C042A2">
      <w:pPr>
        <w:pStyle w:val="Estilo2"/>
      </w:pPr>
      <w:bookmarkStart w:id="9" w:name="_Toc95152431"/>
      <w:bookmarkStart w:id="10" w:name="_Toc95158768"/>
      <w:r w:rsidRPr="00867420">
        <w:lastRenderedPageBreak/>
        <w:t>Requesting Documents Attached to the Association Form</w:t>
      </w:r>
      <w:bookmarkEnd w:id="9"/>
      <w:bookmarkEnd w:id="10"/>
    </w:p>
    <w:p w14:paraId="2861ABB6" w14:textId="77777777" w:rsidR="00C50E41" w:rsidRPr="00867420" w:rsidRDefault="00C50E41" w:rsidP="00C042A2">
      <w:pPr>
        <w:autoSpaceDE w:val="0"/>
        <w:autoSpaceDN w:val="0"/>
        <w:spacing w:after="0" w:line="240" w:lineRule="auto"/>
        <w:jc w:val="both"/>
        <w:rPr>
          <w:rFonts w:eastAsia="Arial" w:cs="Arial"/>
          <w:sz w:val="22"/>
        </w:rPr>
      </w:pPr>
    </w:p>
    <w:p w14:paraId="46053D88" w14:textId="77777777" w:rsidR="00C50E41" w:rsidRPr="00867420" w:rsidRDefault="00C50E41" w:rsidP="00C042A2">
      <w:pPr>
        <w:tabs>
          <w:tab w:val="left" w:pos="640"/>
        </w:tabs>
        <w:spacing w:after="0" w:line="240" w:lineRule="auto"/>
        <w:ind w:right="115"/>
        <w:jc w:val="both"/>
        <w:rPr>
          <w:rFonts w:eastAsia="Calibri" w:cs="Arial"/>
          <w:sz w:val="22"/>
        </w:rPr>
      </w:pPr>
      <w:r w:rsidRPr="00867420">
        <w:rPr>
          <w:sz w:val="22"/>
        </w:rPr>
        <w:t>In addition to completing the association form, the Shareholder or Investor association process includes collecting documentary information that allows GEB</w:t>
      </w:r>
      <w:r w:rsidRPr="00867420">
        <w:rPr>
          <w:b/>
          <w:sz w:val="22"/>
        </w:rPr>
        <w:t xml:space="preserve"> </w:t>
      </w:r>
      <w:r w:rsidRPr="00867420">
        <w:rPr>
          <w:sz w:val="22"/>
        </w:rPr>
        <w:t>to have additional information on the potential Shareholders or Investors and facilitate the process of verifying and confirming the received information.</w:t>
      </w:r>
    </w:p>
    <w:p w14:paraId="0DF3F954" w14:textId="77777777" w:rsidR="00A54A85" w:rsidRPr="00867420" w:rsidRDefault="00A54A85" w:rsidP="00C042A2">
      <w:pPr>
        <w:autoSpaceDE w:val="0"/>
        <w:autoSpaceDN w:val="0"/>
        <w:spacing w:after="0" w:line="240" w:lineRule="auto"/>
        <w:ind w:right="121"/>
        <w:jc w:val="both"/>
        <w:rPr>
          <w:rFonts w:eastAsia="Arial" w:cs="Arial"/>
          <w:sz w:val="22"/>
        </w:rPr>
      </w:pPr>
    </w:p>
    <w:p w14:paraId="52167122" w14:textId="56657986" w:rsidR="00C50E41" w:rsidRPr="00867420" w:rsidRDefault="00C50E41" w:rsidP="00C042A2">
      <w:pPr>
        <w:autoSpaceDE w:val="0"/>
        <w:autoSpaceDN w:val="0"/>
        <w:spacing w:after="0" w:line="240" w:lineRule="auto"/>
        <w:ind w:right="121"/>
        <w:jc w:val="both"/>
        <w:rPr>
          <w:rFonts w:eastAsia="Arial" w:cs="Arial"/>
          <w:sz w:val="22"/>
        </w:rPr>
      </w:pPr>
      <w:r w:rsidRPr="00867420">
        <w:rPr>
          <w:sz w:val="22"/>
        </w:rPr>
        <w:t>To that end, the following documents are requested from the potential Shareholders or Investors during the association process</w:t>
      </w:r>
      <w:r w:rsidRPr="00867420">
        <w:rPr>
          <w:b/>
          <w:sz w:val="22"/>
        </w:rPr>
        <w:t xml:space="preserve"> </w:t>
      </w:r>
      <w:r w:rsidRPr="00867420">
        <w:rPr>
          <w:sz w:val="22"/>
        </w:rPr>
        <w:t>to GEB:</w:t>
      </w:r>
    </w:p>
    <w:p w14:paraId="41FF0051" w14:textId="77777777" w:rsidR="00C50E41" w:rsidRPr="00867420" w:rsidRDefault="00C50E41" w:rsidP="00C042A2">
      <w:pPr>
        <w:autoSpaceDE w:val="0"/>
        <w:autoSpaceDN w:val="0"/>
        <w:spacing w:after="0" w:line="240" w:lineRule="auto"/>
        <w:ind w:left="567"/>
        <w:jc w:val="both"/>
        <w:rPr>
          <w:rFonts w:eastAsia="Arial" w:cs="Arial"/>
          <w:sz w:val="22"/>
        </w:rPr>
      </w:pPr>
    </w:p>
    <w:p w14:paraId="6EBBEA88" w14:textId="77777777" w:rsidR="00C50E41" w:rsidRPr="00867420" w:rsidRDefault="00C50E41" w:rsidP="00C042A2">
      <w:pPr>
        <w:spacing w:after="0" w:line="240" w:lineRule="auto"/>
        <w:jc w:val="both"/>
        <w:rPr>
          <w:rFonts w:eastAsia="Calibri" w:cs="Arial"/>
          <w:sz w:val="22"/>
        </w:rPr>
      </w:pPr>
      <w:bookmarkStart w:id="11" w:name="_Toc95152432"/>
      <w:r w:rsidRPr="00867420">
        <w:rPr>
          <w:sz w:val="22"/>
        </w:rPr>
        <w:t>Attachments to the association forms of individuals:</w:t>
      </w:r>
      <w:bookmarkEnd w:id="11"/>
    </w:p>
    <w:p w14:paraId="3A214BB5" w14:textId="77777777" w:rsidR="00C50E41" w:rsidRPr="00867420" w:rsidRDefault="00C50E41" w:rsidP="00C042A2">
      <w:pPr>
        <w:numPr>
          <w:ilvl w:val="0"/>
          <w:numId w:val="3"/>
        </w:numPr>
        <w:tabs>
          <w:tab w:val="left" w:pos="1379"/>
        </w:tabs>
        <w:autoSpaceDE w:val="0"/>
        <w:autoSpaceDN w:val="0"/>
        <w:spacing w:after="0" w:line="240" w:lineRule="auto"/>
        <w:jc w:val="both"/>
        <w:rPr>
          <w:rFonts w:eastAsia="Arial" w:cs="Arial"/>
          <w:sz w:val="22"/>
        </w:rPr>
      </w:pPr>
      <w:r w:rsidRPr="00867420">
        <w:rPr>
          <w:sz w:val="22"/>
        </w:rPr>
        <w:t>Photocopy of their I.D.</w:t>
      </w:r>
    </w:p>
    <w:p w14:paraId="2A62329A" w14:textId="77777777" w:rsidR="00C50E41" w:rsidRPr="00867420" w:rsidRDefault="00C50E41" w:rsidP="00C042A2">
      <w:pPr>
        <w:numPr>
          <w:ilvl w:val="0"/>
          <w:numId w:val="3"/>
        </w:numPr>
        <w:tabs>
          <w:tab w:val="left" w:pos="1379"/>
        </w:tabs>
        <w:autoSpaceDE w:val="0"/>
        <w:autoSpaceDN w:val="0"/>
        <w:spacing w:after="0" w:line="240" w:lineRule="auto"/>
        <w:jc w:val="both"/>
        <w:rPr>
          <w:rFonts w:eastAsia="Arial" w:cs="Arial"/>
          <w:sz w:val="22"/>
        </w:rPr>
      </w:pPr>
      <w:r w:rsidRPr="00867420">
        <w:rPr>
          <w:sz w:val="22"/>
        </w:rPr>
        <w:t>Certificate of income and withholding.</w:t>
      </w:r>
    </w:p>
    <w:p w14:paraId="143BFB3D" w14:textId="77777777" w:rsidR="00C50E41" w:rsidRPr="00867420" w:rsidRDefault="00C50E41" w:rsidP="00C042A2">
      <w:pPr>
        <w:numPr>
          <w:ilvl w:val="0"/>
          <w:numId w:val="3"/>
        </w:numPr>
        <w:tabs>
          <w:tab w:val="left" w:pos="1379"/>
        </w:tabs>
        <w:autoSpaceDE w:val="0"/>
        <w:autoSpaceDN w:val="0"/>
        <w:spacing w:after="0" w:line="240" w:lineRule="auto"/>
        <w:jc w:val="both"/>
        <w:rPr>
          <w:rFonts w:eastAsia="Arial" w:cs="Arial"/>
          <w:sz w:val="22"/>
        </w:rPr>
      </w:pPr>
      <w:r w:rsidRPr="00867420">
        <w:rPr>
          <w:sz w:val="22"/>
        </w:rPr>
        <w:t>Work certificate.</w:t>
      </w:r>
    </w:p>
    <w:p w14:paraId="5C221CF7" w14:textId="77777777" w:rsidR="00C50E41" w:rsidRPr="00867420" w:rsidRDefault="00C50E41" w:rsidP="00C042A2">
      <w:pPr>
        <w:numPr>
          <w:ilvl w:val="0"/>
          <w:numId w:val="3"/>
        </w:numPr>
        <w:tabs>
          <w:tab w:val="left" w:pos="1379"/>
        </w:tabs>
        <w:autoSpaceDE w:val="0"/>
        <w:autoSpaceDN w:val="0"/>
        <w:spacing w:after="0" w:line="240" w:lineRule="auto"/>
        <w:ind w:right="124"/>
        <w:jc w:val="both"/>
        <w:rPr>
          <w:rFonts w:eastAsia="Arial" w:cs="Arial"/>
          <w:sz w:val="22"/>
        </w:rPr>
      </w:pPr>
      <w:r w:rsidRPr="00867420">
        <w:rPr>
          <w:sz w:val="22"/>
        </w:rPr>
        <w:t>Income tax returns for the last two available tax periods or letter of non-declaration.</w:t>
      </w:r>
    </w:p>
    <w:p w14:paraId="23BE065A" w14:textId="77777777" w:rsidR="00C50E41" w:rsidRPr="00867420" w:rsidRDefault="00C50E41" w:rsidP="00C042A2">
      <w:pPr>
        <w:numPr>
          <w:ilvl w:val="0"/>
          <w:numId w:val="3"/>
        </w:numPr>
        <w:tabs>
          <w:tab w:val="left" w:pos="1379"/>
        </w:tabs>
        <w:autoSpaceDE w:val="0"/>
        <w:autoSpaceDN w:val="0"/>
        <w:spacing w:after="0" w:line="240" w:lineRule="auto"/>
        <w:ind w:right="127"/>
        <w:jc w:val="both"/>
        <w:rPr>
          <w:rFonts w:eastAsia="Arial" w:cs="Arial"/>
          <w:sz w:val="22"/>
        </w:rPr>
      </w:pPr>
      <w:r w:rsidRPr="00867420">
        <w:rPr>
          <w:sz w:val="22"/>
        </w:rPr>
        <w:t>Certificate on the origin of the funds to be used to acquire the securities.</w:t>
      </w:r>
    </w:p>
    <w:p w14:paraId="4C065D46" w14:textId="77777777" w:rsidR="00C50E41" w:rsidRPr="00867420" w:rsidRDefault="00C50E41" w:rsidP="00C042A2">
      <w:pPr>
        <w:numPr>
          <w:ilvl w:val="0"/>
          <w:numId w:val="3"/>
        </w:numPr>
        <w:tabs>
          <w:tab w:val="left" w:pos="1379"/>
        </w:tabs>
        <w:autoSpaceDE w:val="0"/>
        <w:autoSpaceDN w:val="0"/>
        <w:spacing w:after="0" w:line="240" w:lineRule="auto"/>
        <w:ind w:right="119"/>
        <w:jc w:val="both"/>
        <w:rPr>
          <w:rFonts w:eastAsia="Arial" w:cs="Arial"/>
          <w:sz w:val="22"/>
        </w:rPr>
      </w:pPr>
      <w:r w:rsidRPr="00867420">
        <w:rPr>
          <w:sz w:val="22"/>
        </w:rPr>
        <w:t xml:space="preserve">Financial statements certified or audited as of the last cut-off date available at the time of the shareholder or investor’s </w:t>
      </w:r>
      <w:proofErr w:type="gramStart"/>
      <w:r w:rsidRPr="00867420">
        <w:rPr>
          <w:sz w:val="22"/>
        </w:rPr>
        <w:t>association, when</w:t>
      </w:r>
      <w:proofErr w:type="gramEnd"/>
      <w:r w:rsidRPr="00867420">
        <w:rPr>
          <w:sz w:val="22"/>
        </w:rPr>
        <w:t xml:space="preserve"> it applies.</w:t>
      </w:r>
    </w:p>
    <w:p w14:paraId="2B351136" w14:textId="77777777" w:rsidR="00C50E41" w:rsidRPr="00867420" w:rsidRDefault="00C50E41" w:rsidP="00C042A2">
      <w:pPr>
        <w:numPr>
          <w:ilvl w:val="0"/>
          <w:numId w:val="3"/>
        </w:numPr>
        <w:tabs>
          <w:tab w:val="left" w:pos="1379"/>
        </w:tabs>
        <w:autoSpaceDE w:val="0"/>
        <w:autoSpaceDN w:val="0"/>
        <w:spacing w:after="0" w:line="240" w:lineRule="auto"/>
        <w:jc w:val="both"/>
        <w:rPr>
          <w:rFonts w:eastAsia="Arial" w:cs="Arial"/>
          <w:sz w:val="22"/>
        </w:rPr>
      </w:pPr>
      <w:r w:rsidRPr="00867420">
        <w:rPr>
          <w:sz w:val="22"/>
        </w:rPr>
        <w:t>Attachments to the association forms of legal entities:</w:t>
      </w:r>
    </w:p>
    <w:p w14:paraId="2DE202BC" w14:textId="77777777" w:rsidR="00C50E41" w:rsidRPr="00867420" w:rsidRDefault="00C50E41" w:rsidP="00C042A2">
      <w:pPr>
        <w:numPr>
          <w:ilvl w:val="0"/>
          <w:numId w:val="3"/>
        </w:numPr>
        <w:tabs>
          <w:tab w:val="left" w:pos="1379"/>
        </w:tabs>
        <w:autoSpaceDE w:val="0"/>
        <w:autoSpaceDN w:val="0"/>
        <w:spacing w:after="0" w:line="240" w:lineRule="auto"/>
        <w:ind w:right="116"/>
        <w:jc w:val="both"/>
        <w:rPr>
          <w:rFonts w:eastAsia="Arial" w:cs="Arial"/>
          <w:sz w:val="22"/>
        </w:rPr>
      </w:pPr>
      <w:r w:rsidRPr="00867420">
        <w:rPr>
          <w:sz w:val="22"/>
        </w:rPr>
        <w:t>Certificate of incorporation and legal representation issued no more than three months prior by the Chamber of Commerce • Photocopy of their Tax I.D. Number (TIN) • Photocopy of their Unique Tax Registry (RUT, for the Spanish original) • Photocopy of the legal representative’s I.D. • Certified or audited financial statements • List of shareholding partners with 5% or more of the share capital, if this information is not in the certificate of incorporation and legal representation. When it comes to non-corporate entities, a list of Board members and the body that acts in its stead will be attached, in the event they are not included in the certificate of incorporation and legal representation.</w:t>
      </w:r>
    </w:p>
    <w:p w14:paraId="528FB007" w14:textId="77777777" w:rsidR="00C50E41" w:rsidRPr="00867420" w:rsidRDefault="00C50E41" w:rsidP="00C042A2">
      <w:pPr>
        <w:numPr>
          <w:ilvl w:val="0"/>
          <w:numId w:val="3"/>
        </w:numPr>
        <w:tabs>
          <w:tab w:val="left" w:pos="1379"/>
        </w:tabs>
        <w:autoSpaceDE w:val="0"/>
        <w:autoSpaceDN w:val="0"/>
        <w:spacing w:after="0" w:line="240" w:lineRule="auto"/>
        <w:ind w:right="116"/>
        <w:jc w:val="both"/>
        <w:rPr>
          <w:rFonts w:eastAsia="Arial" w:cs="Arial"/>
          <w:sz w:val="22"/>
        </w:rPr>
      </w:pPr>
      <w:r w:rsidRPr="00867420">
        <w:rPr>
          <w:sz w:val="22"/>
        </w:rPr>
        <w:t>The income tax returns for the last two available tax periods.</w:t>
      </w:r>
    </w:p>
    <w:p w14:paraId="6D60CC30" w14:textId="77777777" w:rsidR="00C50E41" w:rsidRPr="00867420" w:rsidRDefault="00C50E41" w:rsidP="00C042A2">
      <w:pPr>
        <w:autoSpaceDE w:val="0"/>
        <w:autoSpaceDN w:val="0"/>
        <w:spacing w:after="0" w:line="240" w:lineRule="auto"/>
        <w:jc w:val="both"/>
        <w:rPr>
          <w:rFonts w:eastAsia="Arial" w:cs="Arial"/>
          <w:sz w:val="22"/>
        </w:rPr>
      </w:pPr>
    </w:p>
    <w:p w14:paraId="5F3BB81C" w14:textId="77777777" w:rsidR="00A54A85" w:rsidRPr="00867420" w:rsidRDefault="00A54A85" w:rsidP="00C042A2">
      <w:pPr>
        <w:tabs>
          <w:tab w:val="left" w:pos="2179"/>
        </w:tabs>
        <w:autoSpaceDE w:val="0"/>
        <w:autoSpaceDN w:val="0"/>
        <w:spacing w:after="0" w:line="240" w:lineRule="auto"/>
        <w:ind w:right="118"/>
        <w:jc w:val="both"/>
        <w:rPr>
          <w:rFonts w:eastAsia="Arial" w:cs="Arial"/>
          <w:sz w:val="22"/>
        </w:rPr>
      </w:pPr>
    </w:p>
    <w:p w14:paraId="358650DD" w14:textId="2E35C10C" w:rsidR="00C50E41" w:rsidRPr="00867420" w:rsidRDefault="00A54A85" w:rsidP="00C042A2">
      <w:pPr>
        <w:tabs>
          <w:tab w:val="left" w:pos="2179"/>
        </w:tabs>
        <w:autoSpaceDE w:val="0"/>
        <w:autoSpaceDN w:val="0"/>
        <w:spacing w:after="0" w:line="240" w:lineRule="auto"/>
        <w:ind w:right="118"/>
        <w:jc w:val="both"/>
        <w:rPr>
          <w:rFonts w:eastAsia="Arial" w:cs="Arial"/>
          <w:sz w:val="22"/>
        </w:rPr>
      </w:pPr>
      <w:r w:rsidRPr="00867420">
        <w:rPr>
          <w:sz w:val="22"/>
        </w:rPr>
        <w:t xml:space="preserve">When acting through an attorney to make the investment, accreditation of the power of attorney must be required in writing, duly </w:t>
      </w:r>
      <w:proofErr w:type="gramStart"/>
      <w:r w:rsidRPr="00867420">
        <w:rPr>
          <w:sz w:val="22"/>
        </w:rPr>
        <w:t>signed</w:t>
      </w:r>
      <w:proofErr w:type="gramEnd"/>
      <w:r w:rsidRPr="00867420">
        <w:rPr>
          <w:sz w:val="22"/>
        </w:rPr>
        <w:t xml:space="preserve"> and authenticated with recognition of the signature, fingerprint and content. If there are various beneficiaries, they must be registered in the power of attorney, and one of them must sign this document.</w:t>
      </w:r>
    </w:p>
    <w:p w14:paraId="7CD8F8D6" w14:textId="77777777" w:rsidR="00C50E41" w:rsidRPr="00867420" w:rsidRDefault="00C50E41" w:rsidP="00C042A2">
      <w:pPr>
        <w:autoSpaceDE w:val="0"/>
        <w:autoSpaceDN w:val="0"/>
        <w:spacing w:after="0" w:line="240" w:lineRule="auto"/>
        <w:ind w:left="567"/>
        <w:jc w:val="both"/>
        <w:rPr>
          <w:rFonts w:eastAsia="Arial" w:cs="Arial"/>
          <w:sz w:val="22"/>
        </w:rPr>
      </w:pPr>
    </w:p>
    <w:p w14:paraId="2ACF1FAE" w14:textId="77777777" w:rsidR="00C50E41" w:rsidRPr="00867420" w:rsidRDefault="00C50E41" w:rsidP="00C042A2">
      <w:pPr>
        <w:autoSpaceDE w:val="0"/>
        <w:autoSpaceDN w:val="0"/>
        <w:spacing w:after="0" w:line="240" w:lineRule="auto"/>
        <w:ind w:right="117"/>
        <w:jc w:val="both"/>
        <w:rPr>
          <w:rFonts w:eastAsia="Arial" w:cs="Arial"/>
          <w:sz w:val="22"/>
        </w:rPr>
      </w:pPr>
      <w:r w:rsidRPr="00867420">
        <w:rPr>
          <w:sz w:val="22"/>
        </w:rPr>
        <w:t>When a potential Shareholder or Investor has not provided the duly completed association form and all the required annexes on time, they may not participate in the adjudication process of the securities.</w:t>
      </w:r>
    </w:p>
    <w:p w14:paraId="66FF2C74" w14:textId="77777777" w:rsidR="00C50E41" w:rsidRPr="00867420" w:rsidRDefault="00C50E41" w:rsidP="00C042A2">
      <w:pPr>
        <w:autoSpaceDE w:val="0"/>
        <w:autoSpaceDN w:val="0"/>
        <w:spacing w:after="0" w:line="240" w:lineRule="auto"/>
        <w:jc w:val="both"/>
        <w:rPr>
          <w:rFonts w:eastAsia="Arial" w:cs="Arial"/>
          <w:sz w:val="22"/>
        </w:rPr>
      </w:pPr>
    </w:p>
    <w:p w14:paraId="66593A9A" w14:textId="77777777" w:rsidR="00C50E41" w:rsidRPr="00867420" w:rsidRDefault="00C50E41" w:rsidP="00C042A2">
      <w:pPr>
        <w:pStyle w:val="Estilo2"/>
      </w:pPr>
      <w:bookmarkStart w:id="12" w:name="_Toc95152433"/>
      <w:bookmarkStart w:id="13" w:name="_Toc95158769"/>
      <w:r w:rsidRPr="00867420">
        <w:t>Verifying proper and full completion of the association form, as well as delivery of all the annexes with the required information</w:t>
      </w:r>
      <w:bookmarkEnd w:id="12"/>
      <w:bookmarkEnd w:id="13"/>
    </w:p>
    <w:p w14:paraId="082A0555" w14:textId="77777777" w:rsidR="00C50E41" w:rsidRPr="00867420" w:rsidRDefault="00C50E41" w:rsidP="00C042A2">
      <w:pPr>
        <w:autoSpaceDE w:val="0"/>
        <w:autoSpaceDN w:val="0"/>
        <w:spacing w:after="0" w:line="240" w:lineRule="auto"/>
        <w:jc w:val="both"/>
        <w:rPr>
          <w:rFonts w:eastAsia="Arial" w:cs="Arial"/>
          <w:sz w:val="22"/>
        </w:rPr>
      </w:pPr>
    </w:p>
    <w:p w14:paraId="4F1B4A1F" w14:textId="77777777" w:rsidR="00C50E41" w:rsidRPr="00867420" w:rsidRDefault="00C50E41" w:rsidP="00C042A2">
      <w:pPr>
        <w:autoSpaceDE w:val="0"/>
        <w:autoSpaceDN w:val="0"/>
        <w:spacing w:after="0" w:line="240" w:lineRule="auto"/>
        <w:ind w:right="120"/>
        <w:jc w:val="both"/>
        <w:rPr>
          <w:rFonts w:eastAsia="Arial" w:cs="Arial"/>
          <w:sz w:val="22"/>
        </w:rPr>
      </w:pPr>
      <w:r w:rsidRPr="00867420">
        <w:rPr>
          <w:sz w:val="22"/>
        </w:rPr>
        <w:t xml:space="preserve">Once the person seeking to acquire Company shares has delivered GEB the completed association form and required supporting documentation, the form is checked for full and </w:t>
      </w:r>
      <w:r w:rsidRPr="00867420">
        <w:rPr>
          <w:sz w:val="22"/>
        </w:rPr>
        <w:lastRenderedPageBreak/>
        <w:t>correct completion, with all the supporting documentation, making sure the information provided in the form corresponds to that which is in the supporting documents.</w:t>
      </w:r>
    </w:p>
    <w:p w14:paraId="64F76299" w14:textId="6D9E94EB" w:rsidR="00C50E41" w:rsidRPr="00867420" w:rsidRDefault="00C50E41" w:rsidP="00C042A2">
      <w:pPr>
        <w:autoSpaceDE w:val="0"/>
        <w:autoSpaceDN w:val="0"/>
        <w:spacing w:after="0" w:line="240" w:lineRule="auto"/>
        <w:jc w:val="both"/>
        <w:rPr>
          <w:rFonts w:eastAsia="Arial" w:cs="Arial"/>
          <w:sz w:val="22"/>
        </w:rPr>
      </w:pPr>
    </w:p>
    <w:p w14:paraId="77C3E11F" w14:textId="77777777" w:rsidR="00200C74" w:rsidRPr="00867420" w:rsidRDefault="00200C74" w:rsidP="00C042A2">
      <w:pPr>
        <w:autoSpaceDE w:val="0"/>
        <w:autoSpaceDN w:val="0"/>
        <w:spacing w:after="0" w:line="240" w:lineRule="auto"/>
        <w:jc w:val="both"/>
        <w:rPr>
          <w:rFonts w:eastAsia="Arial" w:cs="Arial"/>
          <w:sz w:val="22"/>
        </w:rPr>
      </w:pPr>
    </w:p>
    <w:p w14:paraId="018E7189" w14:textId="77777777" w:rsidR="00C50E41" w:rsidRPr="00867420" w:rsidRDefault="00C50E41" w:rsidP="00C042A2">
      <w:pPr>
        <w:pStyle w:val="Estilo2"/>
      </w:pPr>
      <w:bookmarkStart w:id="14" w:name="_Toc95152434"/>
      <w:bookmarkStart w:id="15" w:name="_Toc95158770"/>
      <w:r w:rsidRPr="00867420">
        <w:t>Confirming the Information Provided in the Association Form</w:t>
      </w:r>
      <w:bookmarkEnd w:id="14"/>
      <w:bookmarkEnd w:id="15"/>
    </w:p>
    <w:p w14:paraId="50A6421A" w14:textId="77777777" w:rsidR="00C50E41" w:rsidRPr="00867420" w:rsidRDefault="00C50E41" w:rsidP="00C042A2">
      <w:pPr>
        <w:autoSpaceDE w:val="0"/>
        <w:autoSpaceDN w:val="0"/>
        <w:spacing w:after="0" w:line="240" w:lineRule="auto"/>
        <w:ind w:left="567"/>
        <w:jc w:val="both"/>
        <w:rPr>
          <w:rFonts w:eastAsia="Arial" w:cs="Arial"/>
          <w:b/>
          <w:sz w:val="22"/>
        </w:rPr>
      </w:pPr>
    </w:p>
    <w:p w14:paraId="1542B52B" w14:textId="2AC8336B" w:rsidR="00C50E41" w:rsidRPr="00867420" w:rsidRDefault="00C50E41" w:rsidP="00C042A2">
      <w:pPr>
        <w:autoSpaceDE w:val="0"/>
        <w:autoSpaceDN w:val="0"/>
        <w:spacing w:after="0" w:line="240" w:lineRule="auto"/>
        <w:ind w:right="127"/>
        <w:jc w:val="both"/>
        <w:rPr>
          <w:rFonts w:eastAsia="Arial" w:cs="Arial"/>
          <w:sz w:val="22"/>
        </w:rPr>
      </w:pPr>
      <w:r w:rsidRPr="00867420">
        <w:rPr>
          <w:sz w:val="22"/>
        </w:rPr>
        <w:t xml:space="preserve">Before associating the Shareholder or Investor, the Financial Vice-president’s Office must confirm the provided information within the terms provided below, which begin </w:t>
      </w:r>
      <w:proofErr w:type="gramStart"/>
      <w:r w:rsidRPr="00867420">
        <w:rPr>
          <w:sz w:val="22"/>
        </w:rPr>
        <w:t>as of the moment documents</w:t>
      </w:r>
      <w:proofErr w:type="gramEnd"/>
      <w:r w:rsidRPr="00867420">
        <w:rPr>
          <w:sz w:val="22"/>
        </w:rPr>
        <w:t xml:space="preserve"> are received:</w:t>
      </w:r>
    </w:p>
    <w:p w14:paraId="183072DB" w14:textId="77777777" w:rsidR="00A53219" w:rsidRPr="00867420" w:rsidRDefault="00A53219" w:rsidP="00C042A2">
      <w:pPr>
        <w:autoSpaceDE w:val="0"/>
        <w:autoSpaceDN w:val="0"/>
        <w:spacing w:after="0" w:line="240" w:lineRule="auto"/>
        <w:jc w:val="both"/>
        <w:rPr>
          <w:rFonts w:eastAsia="Arial" w:cs="Arial"/>
          <w:sz w:val="22"/>
        </w:rPr>
      </w:pPr>
    </w:p>
    <w:p w14:paraId="0E8E66AB" w14:textId="18B22F8D" w:rsidR="00A53219" w:rsidRPr="00867420" w:rsidRDefault="00A53219" w:rsidP="00C042A2">
      <w:pPr>
        <w:pStyle w:val="Estilo3"/>
        <w:spacing w:after="120"/>
        <w:rPr>
          <w:rFonts w:eastAsia="Arial" w:cs="Arial"/>
          <w:sz w:val="22"/>
        </w:rPr>
      </w:pPr>
      <w:r w:rsidRPr="00867420">
        <w:t>Illustration</w:t>
      </w:r>
      <w:r w:rsidR="00C042A2">
        <w:t xml:space="preserve"> </w:t>
      </w:r>
      <w:r w:rsidR="009A185E">
        <w:fldChar w:fldCharType="begin"/>
      </w:r>
      <w:r w:rsidR="009A185E">
        <w:instrText xml:space="preserve"> SEQ Ilustración \* ARABIC </w:instrText>
      </w:r>
      <w:r w:rsidR="009A185E">
        <w:fldChar w:fldCharType="separate"/>
      </w:r>
      <w:r w:rsidRPr="00867420">
        <w:rPr>
          <w:noProof/>
        </w:rPr>
        <w:t>3</w:t>
      </w:r>
      <w:r w:rsidR="009A185E">
        <w:rPr>
          <w:noProof/>
        </w:rPr>
        <w:fldChar w:fldCharType="end"/>
      </w:r>
      <w:r w:rsidR="00C042A2">
        <w:rPr>
          <w:noProof/>
        </w:rPr>
        <w:t xml:space="preserve">: </w:t>
      </w:r>
      <w:r w:rsidRPr="00867420">
        <w:t xml:space="preserve">Terms </w:t>
      </w:r>
    </w:p>
    <w:tbl>
      <w:tblPr>
        <w:tblOverlap w:val="never"/>
        <w:tblW w:w="2693" w:type="pct"/>
        <w:jc w:val="center"/>
        <w:tblCellMar>
          <w:left w:w="10" w:type="dxa"/>
          <w:right w:w="10" w:type="dxa"/>
        </w:tblCellMar>
        <w:tblLook w:val="0000" w:firstRow="0" w:lastRow="0" w:firstColumn="0" w:lastColumn="0" w:noHBand="0" w:noVBand="0"/>
      </w:tblPr>
      <w:tblGrid>
        <w:gridCol w:w="2835"/>
        <w:gridCol w:w="1936"/>
      </w:tblGrid>
      <w:tr w:rsidR="00E85F80" w:rsidRPr="00E85F80" w14:paraId="435BF703" w14:textId="77777777" w:rsidTr="00BE435D">
        <w:trPr>
          <w:trHeight w:hRule="exact" w:val="385"/>
          <w:jc w:val="center"/>
        </w:trPr>
        <w:tc>
          <w:tcPr>
            <w:tcW w:w="2971" w:type="pct"/>
            <w:tcBorders>
              <w:top w:val="single" w:sz="4" w:space="0" w:color="2E74B5"/>
              <w:left w:val="single" w:sz="4" w:space="0" w:color="2E74B5"/>
              <w:bottom w:val="single" w:sz="4" w:space="0" w:color="2E74B5"/>
              <w:right w:val="single" w:sz="4" w:space="0" w:color="2E74B5"/>
            </w:tcBorders>
            <w:shd w:val="clear" w:color="auto" w:fill="FFFFFF"/>
            <w:vAlign w:val="center"/>
          </w:tcPr>
          <w:p w14:paraId="7B6007AE" w14:textId="77777777" w:rsidR="00E85F80" w:rsidRPr="00E85F80" w:rsidRDefault="00E85F80" w:rsidP="00C042A2">
            <w:pPr>
              <w:spacing w:after="0" w:line="240" w:lineRule="auto"/>
              <w:ind w:left="142" w:right="168"/>
              <w:jc w:val="center"/>
              <w:rPr>
                <w:rFonts w:eastAsia="Arial Unicode MS" w:cs="Arial Unicode MS"/>
                <w:b/>
                <w:color w:val="5B87D5"/>
                <w:sz w:val="16"/>
                <w:szCs w:val="16"/>
                <w:lang w:eastAsia="es-ES" w:bidi="es-ES"/>
              </w:rPr>
            </w:pPr>
            <w:bookmarkStart w:id="16" w:name="_Hlk132006083"/>
            <w:r w:rsidRPr="00E85F80">
              <w:rPr>
                <w:rFonts w:eastAsia="Arial Unicode MS" w:cs="Arial Unicode MS"/>
                <w:b/>
                <w:color w:val="5B87D5"/>
                <w:sz w:val="16"/>
                <w:szCs w:val="16"/>
                <w:lang w:eastAsia="es-ES" w:bidi="es-ES"/>
              </w:rPr>
              <w:t>NUMBER OF PURCHASERS</w:t>
            </w:r>
          </w:p>
        </w:tc>
        <w:tc>
          <w:tcPr>
            <w:tcW w:w="2029" w:type="pct"/>
            <w:tcBorders>
              <w:top w:val="single" w:sz="4" w:space="0" w:color="2E74B5"/>
              <w:left w:val="single" w:sz="4" w:space="0" w:color="2E74B5"/>
              <w:bottom w:val="single" w:sz="4" w:space="0" w:color="2E74B5"/>
              <w:right w:val="single" w:sz="4" w:space="0" w:color="2E74B5"/>
            </w:tcBorders>
            <w:shd w:val="clear" w:color="auto" w:fill="FFFFFF"/>
            <w:vAlign w:val="center"/>
          </w:tcPr>
          <w:p w14:paraId="2E13A98B" w14:textId="77777777" w:rsidR="00E85F80" w:rsidRPr="00E85F80" w:rsidRDefault="00E85F80" w:rsidP="00C042A2">
            <w:pPr>
              <w:spacing w:after="0" w:line="240" w:lineRule="auto"/>
              <w:ind w:left="142" w:right="168"/>
              <w:jc w:val="center"/>
              <w:rPr>
                <w:rFonts w:eastAsia="Arial Unicode MS" w:cs="Arial Unicode MS"/>
                <w:b/>
                <w:color w:val="5B87D5"/>
                <w:sz w:val="16"/>
                <w:szCs w:val="16"/>
                <w:lang w:eastAsia="es-ES" w:bidi="es-ES"/>
              </w:rPr>
            </w:pPr>
            <w:r w:rsidRPr="00E85F80">
              <w:rPr>
                <w:rFonts w:eastAsia="Arial Unicode MS" w:cs="Arial Unicode MS"/>
                <w:b/>
                <w:color w:val="5B87D5"/>
                <w:sz w:val="16"/>
                <w:szCs w:val="16"/>
                <w:lang w:eastAsia="es-ES" w:bidi="es-ES"/>
              </w:rPr>
              <w:t>TERM</w:t>
            </w:r>
          </w:p>
        </w:tc>
      </w:tr>
      <w:tr w:rsidR="00E85F80" w:rsidRPr="00E85F80" w14:paraId="2F485FA3" w14:textId="77777777" w:rsidTr="00BE435D">
        <w:trPr>
          <w:trHeight w:hRule="exact" w:val="286"/>
          <w:jc w:val="center"/>
        </w:trPr>
        <w:tc>
          <w:tcPr>
            <w:tcW w:w="2971" w:type="pct"/>
            <w:tcBorders>
              <w:top w:val="single" w:sz="4" w:space="0" w:color="2E74B5"/>
              <w:left w:val="single" w:sz="4" w:space="0" w:color="2E74B5"/>
              <w:bottom w:val="single" w:sz="4" w:space="0" w:color="2E74B5"/>
              <w:right w:val="single" w:sz="4" w:space="0" w:color="2E74B5"/>
            </w:tcBorders>
            <w:shd w:val="clear" w:color="auto" w:fill="FFFFFF"/>
            <w:vAlign w:val="bottom"/>
          </w:tcPr>
          <w:p w14:paraId="3A200CCD" w14:textId="77777777" w:rsidR="00E85F80" w:rsidRPr="00E85F80" w:rsidRDefault="00E85F80" w:rsidP="00C042A2">
            <w:pPr>
              <w:spacing w:after="0" w:line="240" w:lineRule="auto"/>
              <w:ind w:left="142" w:right="170"/>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Up to 100 purchasers</w:t>
            </w:r>
          </w:p>
        </w:tc>
        <w:tc>
          <w:tcPr>
            <w:tcW w:w="2029" w:type="pct"/>
            <w:tcBorders>
              <w:top w:val="single" w:sz="4" w:space="0" w:color="2E74B5"/>
              <w:left w:val="single" w:sz="4" w:space="0" w:color="2E74B5"/>
              <w:bottom w:val="single" w:sz="4" w:space="0" w:color="2E74B5"/>
              <w:right w:val="single" w:sz="4" w:space="0" w:color="2E74B5"/>
            </w:tcBorders>
            <w:shd w:val="clear" w:color="auto" w:fill="FFFFFF"/>
            <w:vAlign w:val="bottom"/>
          </w:tcPr>
          <w:p w14:paraId="7A97DEB9" w14:textId="77777777" w:rsidR="00E85F80" w:rsidRPr="00E85F80" w:rsidRDefault="00E85F80" w:rsidP="00C042A2">
            <w:pPr>
              <w:spacing w:after="0" w:line="240" w:lineRule="auto"/>
              <w:ind w:left="142" w:right="170"/>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5 days</w:t>
            </w:r>
          </w:p>
        </w:tc>
      </w:tr>
      <w:tr w:rsidR="00E85F80" w:rsidRPr="00E85F80" w14:paraId="431DE50A" w14:textId="77777777" w:rsidTr="00BE435D">
        <w:trPr>
          <w:trHeight w:hRule="exact" w:val="271"/>
          <w:jc w:val="center"/>
        </w:trPr>
        <w:tc>
          <w:tcPr>
            <w:tcW w:w="2971" w:type="pct"/>
            <w:tcBorders>
              <w:top w:val="single" w:sz="4" w:space="0" w:color="2E74B5"/>
              <w:left w:val="single" w:sz="4" w:space="0" w:color="2E74B5"/>
              <w:bottom w:val="single" w:sz="4" w:space="0" w:color="2E74B5"/>
              <w:right w:val="single" w:sz="4" w:space="0" w:color="2E74B5"/>
            </w:tcBorders>
            <w:shd w:val="clear" w:color="auto" w:fill="FFFFFF"/>
            <w:vAlign w:val="bottom"/>
          </w:tcPr>
          <w:p w14:paraId="0689B095" w14:textId="77777777" w:rsidR="00E85F80" w:rsidRPr="00E85F80" w:rsidRDefault="00E85F80" w:rsidP="00C042A2">
            <w:pPr>
              <w:spacing w:after="0" w:line="240" w:lineRule="auto"/>
              <w:ind w:left="142" w:right="168"/>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From 101 to 200 purchasers</w:t>
            </w:r>
          </w:p>
        </w:tc>
        <w:tc>
          <w:tcPr>
            <w:tcW w:w="2029" w:type="pct"/>
            <w:tcBorders>
              <w:top w:val="single" w:sz="4" w:space="0" w:color="2E74B5"/>
              <w:left w:val="single" w:sz="4" w:space="0" w:color="2E74B5"/>
              <w:bottom w:val="single" w:sz="4" w:space="0" w:color="2E74B5"/>
              <w:right w:val="single" w:sz="4" w:space="0" w:color="2E74B5"/>
            </w:tcBorders>
            <w:shd w:val="clear" w:color="auto" w:fill="FFFFFF"/>
            <w:vAlign w:val="bottom"/>
          </w:tcPr>
          <w:p w14:paraId="6B47F8BA" w14:textId="77777777" w:rsidR="00E85F80" w:rsidRPr="00E85F80" w:rsidRDefault="00E85F80" w:rsidP="00C042A2">
            <w:pPr>
              <w:spacing w:after="0" w:line="240" w:lineRule="auto"/>
              <w:ind w:left="142" w:right="168"/>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10 days</w:t>
            </w:r>
          </w:p>
        </w:tc>
      </w:tr>
      <w:tr w:rsidR="00E85F80" w:rsidRPr="00E85F80" w14:paraId="4547D9AB" w14:textId="77777777" w:rsidTr="00BE435D">
        <w:trPr>
          <w:trHeight w:hRule="exact" w:val="286"/>
          <w:jc w:val="center"/>
        </w:trPr>
        <w:tc>
          <w:tcPr>
            <w:tcW w:w="2971" w:type="pct"/>
            <w:tcBorders>
              <w:top w:val="single" w:sz="4" w:space="0" w:color="2E74B5"/>
              <w:left w:val="single" w:sz="4" w:space="0" w:color="2E74B5"/>
              <w:bottom w:val="single" w:sz="4" w:space="0" w:color="2E74B5"/>
              <w:right w:val="single" w:sz="4" w:space="0" w:color="2E74B5"/>
            </w:tcBorders>
            <w:shd w:val="clear" w:color="auto" w:fill="FFFFFF"/>
            <w:vAlign w:val="bottom"/>
          </w:tcPr>
          <w:p w14:paraId="6CE89901" w14:textId="77777777" w:rsidR="00E85F80" w:rsidRPr="00E85F80" w:rsidRDefault="00E85F80" w:rsidP="00C042A2">
            <w:pPr>
              <w:spacing w:after="0" w:line="240" w:lineRule="auto"/>
              <w:ind w:left="142" w:right="168"/>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From 201 to 300 purchasers</w:t>
            </w:r>
          </w:p>
        </w:tc>
        <w:tc>
          <w:tcPr>
            <w:tcW w:w="2029" w:type="pct"/>
            <w:tcBorders>
              <w:top w:val="single" w:sz="4" w:space="0" w:color="2E74B5"/>
              <w:left w:val="single" w:sz="4" w:space="0" w:color="2E74B5"/>
              <w:bottom w:val="single" w:sz="4" w:space="0" w:color="2E74B5"/>
              <w:right w:val="single" w:sz="4" w:space="0" w:color="2E74B5"/>
            </w:tcBorders>
            <w:shd w:val="clear" w:color="auto" w:fill="FFFFFF"/>
            <w:vAlign w:val="bottom"/>
          </w:tcPr>
          <w:p w14:paraId="3242BC8A" w14:textId="77777777" w:rsidR="00E85F80" w:rsidRPr="00E85F80" w:rsidRDefault="00E85F80" w:rsidP="00C042A2">
            <w:pPr>
              <w:spacing w:after="0" w:line="240" w:lineRule="auto"/>
              <w:ind w:left="142" w:right="168"/>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20 days</w:t>
            </w:r>
          </w:p>
        </w:tc>
      </w:tr>
      <w:tr w:rsidR="00E85F80" w:rsidRPr="00E85F80" w14:paraId="2B11B6F3" w14:textId="77777777" w:rsidTr="00BE435D">
        <w:trPr>
          <w:trHeight w:hRule="exact" w:val="271"/>
          <w:jc w:val="center"/>
        </w:trPr>
        <w:tc>
          <w:tcPr>
            <w:tcW w:w="2971" w:type="pct"/>
            <w:tcBorders>
              <w:top w:val="single" w:sz="4" w:space="0" w:color="2E74B5"/>
              <w:left w:val="single" w:sz="4" w:space="0" w:color="2E74B5"/>
              <w:bottom w:val="single" w:sz="4" w:space="0" w:color="2E74B5"/>
              <w:right w:val="single" w:sz="4" w:space="0" w:color="2E74B5"/>
            </w:tcBorders>
            <w:shd w:val="clear" w:color="auto" w:fill="FFFFFF"/>
            <w:vAlign w:val="bottom"/>
          </w:tcPr>
          <w:p w14:paraId="70763F4C" w14:textId="77777777" w:rsidR="00E85F80" w:rsidRPr="00E85F80" w:rsidRDefault="00E85F80" w:rsidP="00C042A2">
            <w:pPr>
              <w:spacing w:after="0" w:line="240" w:lineRule="auto"/>
              <w:ind w:left="142" w:right="168"/>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From 301 to 500 purchasers</w:t>
            </w:r>
          </w:p>
        </w:tc>
        <w:tc>
          <w:tcPr>
            <w:tcW w:w="2029" w:type="pct"/>
            <w:tcBorders>
              <w:top w:val="single" w:sz="4" w:space="0" w:color="2E74B5"/>
              <w:left w:val="single" w:sz="4" w:space="0" w:color="2E74B5"/>
              <w:bottom w:val="single" w:sz="4" w:space="0" w:color="2E74B5"/>
              <w:right w:val="single" w:sz="4" w:space="0" w:color="2E74B5"/>
            </w:tcBorders>
            <w:shd w:val="clear" w:color="auto" w:fill="FFFFFF"/>
            <w:vAlign w:val="bottom"/>
          </w:tcPr>
          <w:p w14:paraId="03674012" w14:textId="77777777" w:rsidR="00E85F80" w:rsidRPr="00E85F80" w:rsidRDefault="00E85F80" w:rsidP="00C042A2">
            <w:pPr>
              <w:spacing w:after="0" w:line="240" w:lineRule="auto"/>
              <w:ind w:left="142" w:right="168"/>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30 days</w:t>
            </w:r>
          </w:p>
        </w:tc>
      </w:tr>
      <w:tr w:rsidR="00E85F80" w:rsidRPr="00E85F80" w14:paraId="65E36780" w14:textId="77777777" w:rsidTr="00BE435D">
        <w:trPr>
          <w:trHeight w:hRule="exact" w:val="250"/>
          <w:jc w:val="center"/>
        </w:trPr>
        <w:tc>
          <w:tcPr>
            <w:tcW w:w="2971" w:type="pct"/>
            <w:tcBorders>
              <w:top w:val="single" w:sz="4" w:space="0" w:color="2E74B5"/>
              <w:left w:val="single" w:sz="4" w:space="0" w:color="2E74B5"/>
              <w:bottom w:val="single" w:sz="4" w:space="0" w:color="2E74B5"/>
              <w:right w:val="single" w:sz="4" w:space="0" w:color="2E74B5"/>
            </w:tcBorders>
            <w:shd w:val="clear" w:color="auto" w:fill="FFFFFF"/>
            <w:vAlign w:val="bottom"/>
          </w:tcPr>
          <w:p w14:paraId="61A45BE5" w14:textId="77777777" w:rsidR="00E85F80" w:rsidRPr="00E85F80" w:rsidRDefault="00E85F80" w:rsidP="00C042A2">
            <w:pPr>
              <w:spacing w:after="0" w:line="240" w:lineRule="auto"/>
              <w:ind w:left="142" w:right="168"/>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From 501 to 1000 purchasers</w:t>
            </w:r>
          </w:p>
        </w:tc>
        <w:tc>
          <w:tcPr>
            <w:tcW w:w="2029" w:type="pct"/>
            <w:tcBorders>
              <w:top w:val="single" w:sz="4" w:space="0" w:color="2E74B5"/>
              <w:left w:val="single" w:sz="4" w:space="0" w:color="2E74B5"/>
              <w:bottom w:val="single" w:sz="4" w:space="0" w:color="2E74B5"/>
              <w:right w:val="single" w:sz="4" w:space="0" w:color="2E74B5"/>
            </w:tcBorders>
            <w:shd w:val="clear" w:color="auto" w:fill="FFFFFF"/>
            <w:vAlign w:val="bottom"/>
          </w:tcPr>
          <w:p w14:paraId="7966554D" w14:textId="77777777" w:rsidR="00E85F80" w:rsidRPr="00E85F80" w:rsidRDefault="00E85F80" w:rsidP="00C042A2">
            <w:pPr>
              <w:spacing w:after="0" w:line="240" w:lineRule="auto"/>
              <w:ind w:left="142" w:right="168"/>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40 days</w:t>
            </w:r>
          </w:p>
        </w:tc>
      </w:tr>
      <w:tr w:rsidR="00E85F80" w:rsidRPr="00E85F80" w14:paraId="2C61F554" w14:textId="77777777" w:rsidTr="00BE435D">
        <w:trPr>
          <w:trHeight w:hRule="exact" w:val="271"/>
          <w:jc w:val="center"/>
        </w:trPr>
        <w:tc>
          <w:tcPr>
            <w:tcW w:w="2971" w:type="pct"/>
            <w:tcBorders>
              <w:top w:val="single" w:sz="4" w:space="0" w:color="2E74B5"/>
              <w:left w:val="single" w:sz="4" w:space="0" w:color="2E74B5"/>
              <w:bottom w:val="single" w:sz="4" w:space="0" w:color="2E74B5"/>
              <w:right w:val="single" w:sz="4" w:space="0" w:color="2E74B5"/>
            </w:tcBorders>
            <w:shd w:val="clear" w:color="auto" w:fill="FFFFFF"/>
            <w:vAlign w:val="bottom"/>
          </w:tcPr>
          <w:p w14:paraId="60069581" w14:textId="77777777" w:rsidR="00E85F80" w:rsidRPr="00E85F80" w:rsidRDefault="00E85F80" w:rsidP="00C042A2">
            <w:pPr>
              <w:spacing w:after="0" w:line="240" w:lineRule="auto"/>
              <w:ind w:left="142" w:right="168"/>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From 1001 to 2000 purchasers</w:t>
            </w:r>
          </w:p>
        </w:tc>
        <w:tc>
          <w:tcPr>
            <w:tcW w:w="2029" w:type="pct"/>
            <w:tcBorders>
              <w:top w:val="single" w:sz="4" w:space="0" w:color="2E74B5"/>
              <w:left w:val="single" w:sz="4" w:space="0" w:color="2E74B5"/>
              <w:bottom w:val="single" w:sz="4" w:space="0" w:color="2E74B5"/>
              <w:right w:val="single" w:sz="4" w:space="0" w:color="2E74B5"/>
            </w:tcBorders>
            <w:shd w:val="clear" w:color="auto" w:fill="FFFFFF"/>
            <w:vAlign w:val="bottom"/>
          </w:tcPr>
          <w:p w14:paraId="77A2674D" w14:textId="77777777" w:rsidR="00E85F80" w:rsidRPr="00E85F80" w:rsidRDefault="00E85F80" w:rsidP="00C042A2">
            <w:pPr>
              <w:spacing w:after="0" w:line="240" w:lineRule="auto"/>
              <w:ind w:left="142" w:right="168"/>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50 days</w:t>
            </w:r>
          </w:p>
        </w:tc>
      </w:tr>
      <w:tr w:rsidR="00E85F80" w:rsidRPr="00E85F80" w14:paraId="609837C6" w14:textId="77777777" w:rsidTr="00BE435D">
        <w:trPr>
          <w:trHeight w:hRule="exact" w:val="271"/>
          <w:jc w:val="center"/>
        </w:trPr>
        <w:tc>
          <w:tcPr>
            <w:tcW w:w="2971" w:type="pct"/>
            <w:tcBorders>
              <w:top w:val="single" w:sz="4" w:space="0" w:color="2E74B5"/>
              <w:left w:val="single" w:sz="4" w:space="0" w:color="2E74B5"/>
              <w:bottom w:val="single" w:sz="4" w:space="0" w:color="2E74B5"/>
              <w:right w:val="single" w:sz="4" w:space="0" w:color="2E74B5"/>
            </w:tcBorders>
            <w:shd w:val="clear" w:color="auto" w:fill="FFFFFF"/>
            <w:vAlign w:val="bottom"/>
          </w:tcPr>
          <w:p w14:paraId="450D50D6" w14:textId="77777777" w:rsidR="00E85F80" w:rsidRPr="00E85F80" w:rsidRDefault="00E85F80" w:rsidP="00C042A2">
            <w:pPr>
              <w:spacing w:after="0" w:line="240" w:lineRule="auto"/>
              <w:ind w:left="142" w:right="168"/>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From 2001 to 5000 purchasers</w:t>
            </w:r>
          </w:p>
        </w:tc>
        <w:tc>
          <w:tcPr>
            <w:tcW w:w="2029" w:type="pct"/>
            <w:tcBorders>
              <w:top w:val="single" w:sz="4" w:space="0" w:color="2E74B5"/>
              <w:left w:val="single" w:sz="4" w:space="0" w:color="2E74B5"/>
              <w:bottom w:val="single" w:sz="4" w:space="0" w:color="2E74B5"/>
              <w:right w:val="single" w:sz="4" w:space="0" w:color="2E74B5"/>
            </w:tcBorders>
            <w:shd w:val="clear" w:color="auto" w:fill="FFFFFF"/>
            <w:vAlign w:val="bottom"/>
          </w:tcPr>
          <w:p w14:paraId="2AE2F9DC" w14:textId="77777777" w:rsidR="00E85F80" w:rsidRPr="00E85F80" w:rsidRDefault="00E85F80" w:rsidP="00C042A2">
            <w:pPr>
              <w:spacing w:after="0" w:line="240" w:lineRule="auto"/>
              <w:ind w:left="142" w:right="168"/>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60 days</w:t>
            </w:r>
          </w:p>
        </w:tc>
      </w:tr>
      <w:tr w:rsidR="00E85F80" w:rsidRPr="00E85F80" w14:paraId="13894CDC" w14:textId="77777777" w:rsidTr="00BE435D">
        <w:trPr>
          <w:trHeight w:hRule="exact" w:val="364"/>
          <w:jc w:val="center"/>
        </w:trPr>
        <w:tc>
          <w:tcPr>
            <w:tcW w:w="2971" w:type="pct"/>
            <w:tcBorders>
              <w:top w:val="single" w:sz="4" w:space="0" w:color="2E74B5"/>
              <w:left w:val="single" w:sz="4" w:space="0" w:color="2E74B5"/>
              <w:bottom w:val="single" w:sz="4" w:space="0" w:color="2E74B5"/>
              <w:right w:val="single" w:sz="4" w:space="0" w:color="2E74B5"/>
            </w:tcBorders>
            <w:shd w:val="clear" w:color="auto" w:fill="FFFFFF"/>
            <w:vAlign w:val="center"/>
          </w:tcPr>
          <w:p w14:paraId="4AA09260" w14:textId="77777777" w:rsidR="00E85F80" w:rsidRPr="00E85F80" w:rsidRDefault="00E85F80" w:rsidP="00C042A2">
            <w:pPr>
              <w:spacing w:after="0" w:line="240" w:lineRule="auto"/>
              <w:ind w:left="142" w:right="168"/>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Over 5000 purchasers</w:t>
            </w:r>
          </w:p>
        </w:tc>
        <w:tc>
          <w:tcPr>
            <w:tcW w:w="2029" w:type="pct"/>
            <w:tcBorders>
              <w:top w:val="single" w:sz="4" w:space="0" w:color="2E74B5"/>
              <w:left w:val="single" w:sz="4" w:space="0" w:color="2E74B5"/>
              <w:bottom w:val="single" w:sz="4" w:space="0" w:color="2E74B5"/>
              <w:right w:val="single" w:sz="4" w:space="0" w:color="2E74B5"/>
            </w:tcBorders>
            <w:shd w:val="clear" w:color="auto" w:fill="FFFFFF"/>
            <w:vAlign w:val="center"/>
          </w:tcPr>
          <w:p w14:paraId="0D1C58DA" w14:textId="77777777" w:rsidR="00E85F80" w:rsidRPr="00E85F80" w:rsidRDefault="00E85F80" w:rsidP="00C042A2">
            <w:pPr>
              <w:spacing w:after="0" w:line="240" w:lineRule="auto"/>
              <w:ind w:left="142" w:right="168"/>
              <w:rPr>
                <w:rFonts w:eastAsia="Arial Unicode MS" w:cs="Arial Unicode MS"/>
                <w:color w:val="5B9BD5"/>
                <w:sz w:val="14"/>
                <w:szCs w:val="14"/>
                <w:lang w:eastAsia="es-ES" w:bidi="es-ES"/>
                <w14:textFill>
                  <w14:solidFill>
                    <w14:srgbClr w14:val="5B9BD5">
                      <w14:lumMod w14:val="75000"/>
                    </w14:srgbClr>
                  </w14:solidFill>
                </w14:textFill>
              </w:rPr>
            </w:pPr>
            <w:r w:rsidRPr="00E85F80">
              <w:rPr>
                <w:rFonts w:eastAsia="Arial Unicode MS" w:cs="Arial Unicode MS"/>
                <w:color w:val="5B9BD5"/>
                <w:sz w:val="14"/>
                <w:szCs w:val="14"/>
                <w:lang w:eastAsia="es-ES" w:bidi="es-ES"/>
                <w14:textFill>
                  <w14:solidFill>
                    <w14:srgbClr w14:val="5B9BD5">
                      <w14:lumMod w14:val="75000"/>
                    </w14:srgbClr>
                  </w14:solidFill>
                </w14:textFill>
              </w:rPr>
              <w:t>120 days</w:t>
            </w:r>
          </w:p>
        </w:tc>
      </w:tr>
      <w:bookmarkEnd w:id="16"/>
    </w:tbl>
    <w:p w14:paraId="3B2CE9C5" w14:textId="43351FCA" w:rsidR="00C50E41" w:rsidRPr="00867420" w:rsidRDefault="00C50E41" w:rsidP="00C042A2">
      <w:pPr>
        <w:autoSpaceDE w:val="0"/>
        <w:autoSpaceDN w:val="0"/>
        <w:spacing w:after="0" w:line="240" w:lineRule="auto"/>
        <w:jc w:val="both"/>
        <w:rPr>
          <w:rFonts w:eastAsia="Arial" w:cs="Arial"/>
          <w:sz w:val="22"/>
        </w:rPr>
      </w:pPr>
    </w:p>
    <w:p w14:paraId="4510F86B" w14:textId="692C81ED" w:rsidR="00C50E41" w:rsidRPr="00867420" w:rsidRDefault="004E405E" w:rsidP="00C042A2">
      <w:pPr>
        <w:pStyle w:val="Estilo3"/>
      </w:pPr>
      <w:r w:rsidRPr="00867420">
        <w:t>Source: Compliance Department</w:t>
      </w:r>
    </w:p>
    <w:p w14:paraId="6B815383" w14:textId="5B6DB070" w:rsidR="004E405E" w:rsidRPr="00867420" w:rsidRDefault="004E405E" w:rsidP="00C042A2">
      <w:pPr>
        <w:autoSpaceDE w:val="0"/>
        <w:autoSpaceDN w:val="0"/>
        <w:spacing w:after="0" w:line="240" w:lineRule="auto"/>
        <w:jc w:val="both"/>
      </w:pPr>
    </w:p>
    <w:p w14:paraId="1A16AF9A" w14:textId="77777777" w:rsidR="004E405E" w:rsidRPr="00867420" w:rsidRDefault="004E405E" w:rsidP="00C042A2">
      <w:pPr>
        <w:autoSpaceDE w:val="0"/>
        <w:autoSpaceDN w:val="0"/>
        <w:spacing w:after="0" w:line="240" w:lineRule="auto"/>
        <w:jc w:val="both"/>
        <w:rPr>
          <w:rFonts w:eastAsia="Arial" w:cs="Arial"/>
          <w:sz w:val="22"/>
        </w:rPr>
      </w:pPr>
    </w:p>
    <w:p w14:paraId="3716F025" w14:textId="77777777" w:rsidR="00C50E41" w:rsidRPr="00867420" w:rsidRDefault="00C50E41" w:rsidP="00C042A2">
      <w:pPr>
        <w:autoSpaceDE w:val="0"/>
        <w:autoSpaceDN w:val="0"/>
        <w:spacing w:after="0" w:line="240" w:lineRule="auto"/>
        <w:ind w:right="117"/>
        <w:jc w:val="both"/>
        <w:rPr>
          <w:rFonts w:eastAsia="Arial" w:cs="Arial"/>
          <w:spacing w:val="-2"/>
          <w:sz w:val="22"/>
        </w:rPr>
      </w:pPr>
      <w:r w:rsidRPr="00867420">
        <w:rPr>
          <w:b/>
          <w:sz w:val="22"/>
        </w:rPr>
        <w:t xml:space="preserve">Paragraph: </w:t>
      </w:r>
      <w:r w:rsidRPr="00867420">
        <w:rPr>
          <w:sz w:val="22"/>
        </w:rPr>
        <w:t xml:space="preserve">In the event the information provided by a potential Shareholder or Investor cannot be confirmed, is inaccurate or its veracity is doubted, this fact must be reported to the Compliance Officer immediately, in accordance with Procedure </w:t>
      </w:r>
      <w:r w:rsidRPr="00867420">
        <w:rPr>
          <w:b/>
          <w:color w:val="00B050"/>
          <w:sz w:val="22"/>
        </w:rPr>
        <w:t>CUM-PRO-005-F-002 for reporting unusual operations</w:t>
      </w:r>
      <w:r w:rsidRPr="00867420">
        <w:rPr>
          <w:sz w:val="22"/>
        </w:rPr>
        <w:t>.</w:t>
      </w:r>
    </w:p>
    <w:p w14:paraId="06079C07" w14:textId="77777777" w:rsidR="00C50E41" w:rsidRPr="00867420" w:rsidRDefault="00C50E41" w:rsidP="00C042A2">
      <w:pPr>
        <w:autoSpaceDE w:val="0"/>
        <w:autoSpaceDN w:val="0"/>
        <w:spacing w:after="0" w:line="240" w:lineRule="auto"/>
        <w:ind w:right="117"/>
        <w:jc w:val="both"/>
        <w:rPr>
          <w:rFonts w:eastAsia="Arial" w:cs="Arial"/>
          <w:sz w:val="22"/>
        </w:rPr>
      </w:pPr>
    </w:p>
    <w:p w14:paraId="6CF97130" w14:textId="77777777" w:rsidR="00C50E41" w:rsidRPr="00867420" w:rsidRDefault="00C50E41" w:rsidP="00C042A2">
      <w:pPr>
        <w:autoSpaceDE w:val="0"/>
        <w:autoSpaceDN w:val="0"/>
        <w:spacing w:after="0" w:line="240" w:lineRule="auto"/>
        <w:ind w:left="567"/>
        <w:jc w:val="both"/>
        <w:rPr>
          <w:rFonts w:eastAsia="Arial" w:cs="Arial"/>
          <w:sz w:val="22"/>
        </w:rPr>
      </w:pPr>
    </w:p>
    <w:p w14:paraId="38782491" w14:textId="5C224A54" w:rsidR="00C50E41" w:rsidRPr="00867420" w:rsidRDefault="00C50E41" w:rsidP="00C042A2">
      <w:pPr>
        <w:pStyle w:val="Heading2"/>
      </w:pPr>
      <w:bookmarkStart w:id="17" w:name="_Toc95152435"/>
      <w:bookmarkStart w:id="18" w:name="_Toc95158771"/>
      <w:r w:rsidRPr="00867420">
        <w:t>Verification on Watch Lists</w:t>
      </w:r>
      <w:bookmarkEnd w:id="17"/>
      <w:bookmarkEnd w:id="18"/>
    </w:p>
    <w:p w14:paraId="741F9854" w14:textId="77777777" w:rsidR="00C50E41" w:rsidRPr="00867420" w:rsidRDefault="00C50E41" w:rsidP="00C042A2">
      <w:pPr>
        <w:autoSpaceDE w:val="0"/>
        <w:autoSpaceDN w:val="0"/>
        <w:spacing w:after="0" w:line="240" w:lineRule="auto"/>
        <w:ind w:right="123"/>
        <w:jc w:val="both"/>
        <w:rPr>
          <w:rFonts w:eastAsia="Arial" w:cs="Arial"/>
          <w:sz w:val="22"/>
        </w:rPr>
      </w:pPr>
    </w:p>
    <w:p w14:paraId="7B23BD8E" w14:textId="59951EF1" w:rsidR="00C50E41" w:rsidRPr="00867420" w:rsidRDefault="00C50E41" w:rsidP="00C042A2">
      <w:pPr>
        <w:autoSpaceDE w:val="0"/>
        <w:autoSpaceDN w:val="0"/>
        <w:spacing w:after="0" w:line="240" w:lineRule="auto"/>
        <w:ind w:right="123"/>
        <w:jc w:val="both"/>
        <w:rPr>
          <w:rFonts w:eastAsia="Arial" w:cs="Arial"/>
          <w:sz w:val="22"/>
        </w:rPr>
      </w:pPr>
      <w:r w:rsidRPr="00867420">
        <w:rPr>
          <w:sz w:val="22"/>
        </w:rPr>
        <w:t xml:space="preserve">Before association, the Shareholder or Investor is verified on the corresponding watch lists, according to procedure </w:t>
      </w:r>
      <w:r w:rsidRPr="00867420">
        <w:rPr>
          <w:b/>
          <w:color w:val="00B050"/>
          <w:sz w:val="22"/>
        </w:rPr>
        <w:t>CUM-PRO-002 verification on watch lists</w:t>
      </w:r>
      <w:r w:rsidRPr="00867420">
        <w:rPr>
          <w:sz w:val="22"/>
        </w:rPr>
        <w:t>.</w:t>
      </w:r>
    </w:p>
    <w:p w14:paraId="252BF848" w14:textId="77777777" w:rsidR="00C50E41" w:rsidRPr="00867420" w:rsidRDefault="00C50E41" w:rsidP="00C042A2">
      <w:pPr>
        <w:autoSpaceDE w:val="0"/>
        <w:autoSpaceDN w:val="0"/>
        <w:spacing w:after="0" w:line="240" w:lineRule="auto"/>
        <w:ind w:right="127"/>
        <w:jc w:val="both"/>
        <w:rPr>
          <w:rFonts w:eastAsia="Arial" w:cs="Arial"/>
          <w:sz w:val="22"/>
        </w:rPr>
      </w:pPr>
    </w:p>
    <w:p w14:paraId="22E0BA33" w14:textId="77777777" w:rsidR="00C50E41" w:rsidRPr="00867420" w:rsidRDefault="00C50E41" w:rsidP="00C042A2"/>
    <w:p w14:paraId="2253FA6A" w14:textId="48A243BE" w:rsidR="00C50E41" w:rsidRPr="00867420" w:rsidRDefault="00C50E41" w:rsidP="00C042A2">
      <w:pPr>
        <w:pStyle w:val="Heading2"/>
      </w:pPr>
      <w:bookmarkStart w:id="19" w:name="_Toc95152436"/>
      <w:bookmarkStart w:id="20" w:name="_Toc95158772"/>
      <w:r w:rsidRPr="00867420">
        <w:t>Exceptions for the Obligation to Complete the Association Form for Shareholders or Investors</w:t>
      </w:r>
      <w:bookmarkEnd w:id="19"/>
      <w:bookmarkEnd w:id="20"/>
    </w:p>
    <w:p w14:paraId="0ABA7DB7" w14:textId="77777777" w:rsidR="00C50E41" w:rsidRPr="00867420" w:rsidRDefault="00C50E41" w:rsidP="00C042A2">
      <w:pPr>
        <w:spacing w:after="0" w:line="240" w:lineRule="auto"/>
      </w:pPr>
    </w:p>
    <w:p w14:paraId="2F759AB7" w14:textId="77777777" w:rsidR="00C50E41" w:rsidRPr="00867420" w:rsidRDefault="00C50E41" w:rsidP="00C042A2">
      <w:pPr>
        <w:autoSpaceDE w:val="0"/>
        <w:autoSpaceDN w:val="0"/>
        <w:spacing w:after="0" w:line="240" w:lineRule="auto"/>
        <w:ind w:right="126"/>
        <w:jc w:val="both"/>
        <w:rPr>
          <w:rFonts w:eastAsia="Arial" w:cs="Arial"/>
          <w:sz w:val="22"/>
        </w:rPr>
      </w:pPr>
      <w:r w:rsidRPr="00867420">
        <w:rPr>
          <w:sz w:val="22"/>
        </w:rPr>
        <w:t>The information requirements provided in this manual are not applicable to the following Shareholders or Investors:</w:t>
      </w:r>
    </w:p>
    <w:p w14:paraId="4DBD3206" w14:textId="77777777" w:rsidR="00C50E41" w:rsidRPr="00867420" w:rsidRDefault="00C50E41" w:rsidP="00C042A2">
      <w:pPr>
        <w:autoSpaceDE w:val="0"/>
        <w:autoSpaceDN w:val="0"/>
        <w:spacing w:after="0" w:line="240" w:lineRule="auto"/>
        <w:jc w:val="both"/>
        <w:rPr>
          <w:rFonts w:eastAsia="Arial" w:cs="Arial"/>
          <w:sz w:val="22"/>
        </w:rPr>
      </w:pPr>
    </w:p>
    <w:p w14:paraId="6E34FE52" w14:textId="77777777" w:rsidR="00C50E41" w:rsidRPr="00867420" w:rsidRDefault="00C50E41" w:rsidP="00C042A2">
      <w:pPr>
        <w:numPr>
          <w:ilvl w:val="0"/>
          <w:numId w:val="4"/>
        </w:numPr>
        <w:tabs>
          <w:tab w:val="left" w:pos="1234"/>
          <w:tab w:val="left" w:pos="1235"/>
        </w:tabs>
        <w:autoSpaceDE w:val="0"/>
        <w:autoSpaceDN w:val="0"/>
        <w:spacing w:after="0" w:line="240" w:lineRule="auto"/>
        <w:ind w:right="124"/>
        <w:jc w:val="both"/>
        <w:rPr>
          <w:rFonts w:eastAsia="Arial" w:cs="Arial"/>
          <w:sz w:val="22"/>
        </w:rPr>
      </w:pPr>
      <w:r w:rsidRPr="00867420">
        <w:rPr>
          <w:sz w:val="22"/>
        </w:rPr>
        <w:t>Securities issuers or institutions registered in the National Registry of Securities and Issuers.</w:t>
      </w:r>
    </w:p>
    <w:p w14:paraId="020D9072" w14:textId="77777777" w:rsidR="00C50E41" w:rsidRPr="00867420" w:rsidRDefault="00C50E41" w:rsidP="00C042A2">
      <w:pPr>
        <w:numPr>
          <w:ilvl w:val="0"/>
          <w:numId w:val="4"/>
        </w:numPr>
        <w:tabs>
          <w:tab w:val="left" w:pos="1234"/>
          <w:tab w:val="left" w:pos="1235"/>
        </w:tabs>
        <w:autoSpaceDE w:val="0"/>
        <w:autoSpaceDN w:val="0"/>
        <w:spacing w:after="0" w:line="240" w:lineRule="auto"/>
        <w:ind w:right="124"/>
        <w:jc w:val="both"/>
        <w:rPr>
          <w:rFonts w:eastAsia="Arial" w:cs="Arial"/>
          <w:sz w:val="22"/>
        </w:rPr>
      </w:pPr>
      <w:r w:rsidRPr="00867420">
        <w:rPr>
          <w:sz w:val="22"/>
        </w:rPr>
        <w:t xml:space="preserve">Institutions subject to inspection and oversight from the </w:t>
      </w:r>
      <w:proofErr w:type="spellStart"/>
      <w:r w:rsidRPr="00867420">
        <w:rPr>
          <w:sz w:val="22"/>
        </w:rPr>
        <w:t>SFC</w:t>
      </w:r>
      <w:proofErr w:type="spellEnd"/>
      <w:r w:rsidRPr="00867420">
        <w:rPr>
          <w:sz w:val="22"/>
        </w:rPr>
        <w:t>.</w:t>
      </w:r>
    </w:p>
    <w:p w14:paraId="5D6B143E" w14:textId="77777777" w:rsidR="00C50E41" w:rsidRPr="00867420" w:rsidRDefault="00C50E41" w:rsidP="00C042A2">
      <w:pPr>
        <w:numPr>
          <w:ilvl w:val="0"/>
          <w:numId w:val="4"/>
        </w:numPr>
        <w:tabs>
          <w:tab w:val="left" w:pos="1234"/>
          <w:tab w:val="left" w:pos="1235"/>
        </w:tabs>
        <w:autoSpaceDE w:val="0"/>
        <w:autoSpaceDN w:val="0"/>
        <w:spacing w:after="0" w:line="240" w:lineRule="auto"/>
        <w:ind w:right="124"/>
        <w:jc w:val="both"/>
        <w:rPr>
          <w:rFonts w:eastAsia="Arial" w:cs="Arial"/>
          <w:sz w:val="22"/>
        </w:rPr>
      </w:pPr>
      <w:r w:rsidRPr="00867420">
        <w:rPr>
          <w:sz w:val="22"/>
        </w:rPr>
        <w:lastRenderedPageBreak/>
        <w:t>Multilateral organizations.</w:t>
      </w:r>
    </w:p>
    <w:p w14:paraId="6FF47C85" w14:textId="77777777" w:rsidR="00C50E41" w:rsidRPr="00867420" w:rsidRDefault="00C50E41" w:rsidP="00C042A2">
      <w:pPr>
        <w:numPr>
          <w:ilvl w:val="0"/>
          <w:numId w:val="4"/>
        </w:numPr>
        <w:tabs>
          <w:tab w:val="left" w:pos="1234"/>
          <w:tab w:val="left" w:pos="1235"/>
        </w:tabs>
        <w:autoSpaceDE w:val="0"/>
        <w:autoSpaceDN w:val="0"/>
        <w:spacing w:after="0" w:line="240" w:lineRule="auto"/>
        <w:ind w:right="124"/>
        <w:jc w:val="both"/>
        <w:rPr>
          <w:rFonts w:eastAsia="Arial" w:cs="Arial"/>
          <w:sz w:val="22"/>
        </w:rPr>
      </w:pPr>
      <w:r w:rsidRPr="00867420">
        <w:rPr>
          <w:sz w:val="22"/>
        </w:rPr>
        <w:t xml:space="preserve">National, </w:t>
      </w:r>
      <w:proofErr w:type="gramStart"/>
      <w:r w:rsidRPr="00867420">
        <w:rPr>
          <w:sz w:val="22"/>
        </w:rPr>
        <w:t>departmental</w:t>
      </w:r>
      <w:proofErr w:type="gramEnd"/>
      <w:r w:rsidRPr="00867420">
        <w:rPr>
          <w:sz w:val="22"/>
        </w:rPr>
        <w:t xml:space="preserve"> and municipal public institutions, except when they are industrial and commercial companies of the State, public companies or mixed economy companies not subject to inspection and oversight from the </w:t>
      </w:r>
      <w:proofErr w:type="spellStart"/>
      <w:r w:rsidRPr="00867420">
        <w:rPr>
          <w:sz w:val="22"/>
        </w:rPr>
        <w:t>SFC</w:t>
      </w:r>
      <w:proofErr w:type="spellEnd"/>
      <w:r w:rsidRPr="00867420">
        <w:rPr>
          <w:sz w:val="22"/>
        </w:rPr>
        <w:t>.</w:t>
      </w:r>
    </w:p>
    <w:p w14:paraId="1159DDAD" w14:textId="36CB42CE" w:rsidR="00C50E41" w:rsidRPr="00867420" w:rsidRDefault="00C50E41" w:rsidP="00C042A2">
      <w:pPr>
        <w:autoSpaceDE w:val="0"/>
        <w:autoSpaceDN w:val="0"/>
        <w:spacing w:after="0" w:line="240" w:lineRule="auto"/>
        <w:jc w:val="both"/>
        <w:rPr>
          <w:rFonts w:eastAsia="Arial" w:cs="Arial"/>
          <w:sz w:val="22"/>
        </w:rPr>
      </w:pPr>
    </w:p>
    <w:p w14:paraId="2ECEBB98" w14:textId="77777777" w:rsidR="000C1549" w:rsidRPr="00867420" w:rsidRDefault="000C1549" w:rsidP="00C042A2">
      <w:pPr>
        <w:autoSpaceDE w:val="0"/>
        <w:autoSpaceDN w:val="0"/>
        <w:spacing w:after="0" w:line="240" w:lineRule="auto"/>
        <w:jc w:val="both"/>
        <w:rPr>
          <w:rFonts w:eastAsia="Arial" w:cs="Arial"/>
          <w:sz w:val="22"/>
        </w:rPr>
      </w:pPr>
    </w:p>
    <w:p w14:paraId="3F99E3EE" w14:textId="77777777" w:rsidR="00C50E41" w:rsidRPr="00867420" w:rsidRDefault="00C50E41" w:rsidP="00C042A2">
      <w:pPr>
        <w:pStyle w:val="Heading2"/>
      </w:pPr>
      <w:bookmarkStart w:id="21" w:name="_Toc95152437"/>
      <w:bookmarkStart w:id="22" w:name="_Toc95158773"/>
      <w:r w:rsidRPr="00867420">
        <w:t>Updating the Information of Shareholders</w:t>
      </w:r>
      <w:bookmarkEnd w:id="21"/>
      <w:bookmarkEnd w:id="22"/>
      <w:r w:rsidRPr="00867420">
        <w:t xml:space="preserve"> and Investors</w:t>
      </w:r>
    </w:p>
    <w:p w14:paraId="0DC9F024" w14:textId="77777777" w:rsidR="00C50E41" w:rsidRPr="00867420" w:rsidRDefault="00C50E41" w:rsidP="00C042A2">
      <w:pPr>
        <w:autoSpaceDE w:val="0"/>
        <w:autoSpaceDN w:val="0"/>
        <w:spacing w:after="0" w:line="240" w:lineRule="auto"/>
        <w:jc w:val="both"/>
        <w:rPr>
          <w:rFonts w:eastAsia="Arial" w:cs="Arial"/>
          <w:b/>
          <w:sz w:val="22"/>
        </w:rPr>
      </w:pPr>
    </w:p>
    <w:p w14:paraId="170E3DEB" w14:textId="77777777" w:rsidR="00C50E41" w:rsidRPr="00867420" w:rsidRDefault="00C50E41" w:rsidP="00C042A2">
      <w:pPr>
        <w:autoSpaceDE w:val="0"/>
        <w:autoSpaceDN w:val="0"/>
        <w:spacing w:after="0" w:line="240" w:lineRule="auto"/>
        <w:ind w:right="128"/>
        <w:jc w:val="both"/>
        <w:rPr>
          <w:rFonts w:eastAsia="Arial" w:cs="Arial"/>
          <w:sz w:val="22"/>
        </w:rPr>
      </w:pPr>
      <w:r w:rsidRPr="00867420">
        <w:rPr>
          <w:sz w:val="22"/>
        </w:rPr>
        <w:t>The information in the association form and annexes to the form must be kept updated with respect to shareholders that own 1% or more of the shares in circulation of GEB.</w:t>
      </w:r>
    </w:p>
    <w:p w14:paraId="186A13A0" w14:textId="77777777" w:rsidR="00C50E41" w:rsidRPr="00867420" w:rsidRDefault="00C50E41" w:rsidP="00C042A2">
      <w:pPr>
        <w:autoSpaceDE w:val="0"/>
        <w:autoSpaceDN w:val="0"/>
        <w:spacing w:after="0" w:line="240" w:lineRule="auto"/>
        <w:jc w:val="both"/>
        <w:rPr>
          <w:rFonts w:eastAsia="Arial" w:cs="Arial"/>
          <w:sz w:val="22"/>
        </w:rPr>
      </w:pPr>
    </w:p>
    <w:p w14:paraId="387F9DE5" w14:textId="77777777" w:rsidR="00C50E41" w:rsidRPr="00867420" w:rsidRDefault="00C50E41" w:rsidP="00C042A2">
      <w:pPr>
        <w:autoSpaceDE w:val="0"/>
        <w:autoSpaceDN w:val="0"/>
        <w:spacing w:after="0" w:line="240" w:lineRule="auto"/>
        <w:ind w:right="117"/>
        <w:jc w:val="both"/>
        <w:rPr>
          <w:rFonts w:eastAsia="Arial" w:cs="Arial"/>
          <w:sz w:val="22"/>
        </w:rPr>
      </w:pPr>
      <w:r w:rsidRPr="00867420">
        <w:rPr>
          <w:sz w:val="22"/>
        </w:rPr>
        <w:t>To this end, the Shareholder will be requested each year to update their information through a written communication. Once the Company</w:t>
      </w:r>
      <w:r w:rsidRPr="00867420">
        <w:rPr>
          <w:b/>
          <w:sz w:val="22"/>
        </w:rPr>
        <w:t xml:space="preserve"> </w:t>
      </w:r>
      <w:r w:rsidRPr="00867420">
        <w:rPr>
          <w:sz w:val="22"/>
        </w:rPr>
        <w:t xml:space="preserve">receives the information, they will proceed to make sure the information is complete and consistent with the association form. </w:t>
      </w:r>
    </w:p>
    <w:p w14:paraId="12D91995" w14:textId="77777777" w:rsidR="00C50E41" w:rsidRPr="00867420" w:rsidRDefault="00C50E41" w:rsidP="00C042A2">
      <w:pPr>
        <w:autoSpaceDE w:val="0"/>
        <w:autoSpaceDN w:val="0"/>
        <w:spacing w:after="0" w:line="240" w:lineRule="auto"/>
        <w:ind w:left="529" w:right="117"/>
        <w:jc w:val="both"/>
        <w:rPr>
          <w:rFonts w:eastAsia="Arial" w:cs="Arial"/>
          <w:sz w:val="22"/>
        </w:rPr>
      </w:pPr>
    </w:p>
    <w:p w14:paraId="2DB7363B" w14:textId="77777777" w:rsidR="00C50E41" w:rsidRPr="00867420" w:rsidRDefault="00C50E41" w:rsidP="00C042A2">
      <w:pPr>
        <w:autoSpaceDE w:val="0"/>
        <w:autoSpaceDN w:val="0"/>
        <w:spacing w:after="0" w:line="240" w:lineRule="auto"/>
        <w:ind w:right="117"/>
        <w:jc w:val="both"/>
        <w:rPr>
          <w:rFonts w:eastAsia="Arial" w:cs="Arial"/>
          <w:sz w:val="22"/>
        </w:rPr>
      </w:pPr>
      <w:r w:rsidRPr="00867420">
        <w:rPr>
          <w:sz w:val="22"/>
        </w:rPr>
        <w:t>They will also confirm the provided information and make sure the Shareholder is not included on any Restrictive Lists once again. If any match is found, they will proceed as indicated in section E. Finally, they will file the documentation in the Shareholder or Investor folder.</w:t>
      </w:r>
    </w:p>
    <w:p w14:paraId="68A84BC0" w14:textId="77777777" w:rsidR="00C50E41" w:rsidRPr="00867420" w:rsidRDefault="00C50E41" w:rsidP="00C042A2">
      <w:pPr>
        <w:autoSpaceDE w:val="0"/>
        <w:autoSpaceDN w:val="0"/>
        <w:spacing w:after="0" w:line="240" w:lineRule="auto"/>
        <w:jc w:val="both"/>
        <w:rPr>
          <w:rFonts w:eastAsia="Arial" w:cs="Arial"/>
          <w:sz w:val="22"/>
        </w:rPr>
      </w:pPr>
    </w:p>
    <w:p w14:paraId="1B6EE82F" w14:textId="77777777" w:rsidR="00C50E41" w:rsidRPr="00867420" w:rsidRDefault="00C50E41" w:rsidP="00C042A2">
      <w:pPr>
        <w:autoSpaceDE w:val="0"/>
        <w:autoSpaceDN w:val="0"/>
        <w:spacing w:after="0" w:line="240" w:lineRule="auto"/>
        <w:jc w:val="both"/>
        <w:rPr>
          <w:rFonts w:eastAsia="Arial" w:cs="Arial"/>
          <w:sz w:val="22"/>
        </w:rPr>
      </w:pPr>
    </w:p>
    <w:p w14:paraId="08CE07FA" w14:textId="7078E421" w:rsidR="00C50E41" w:rsidRPr="00867420" w:rsidRDefault="00501B78" w:rsidP="00C042A2">
      <w:pPr>
        <w:pStyle w:val="Heading2"/>
      </w:pPr>
      <w:bookmarkStart w:id="23" w:name="_bookmark8"/>
      <w:bookmarkStart w:id="24" w:name="_Toc95152439"/>
      <w:bookmarkStart w:id="25" w:name="_Toc95158775"/>
      <w:bookmarkEnd w:id="23"/>
      <w:r w:rsidRPr="00867420">
        <w:t xml:space="preserve"> Knowledge of Shareholders or Investors Classified as</w:t>
      </w:r>
      <w:bookmarkEnd w:id="24"/>
      <w:bookmarkEnd w:id="25"/>
      <w:r w:rsidRPr="00867420">
        <w:t xml:space="preserve"> </w:t>
      </w:r>
      <w:proofErr w:type="spellStart"/>
      <w:r w:rsidRPr="00867420">
        <w:t>PEPs</w:t>
      </w:r>
      <w:proofErr w:type="spellEnd"/>
    </w:p>
    <w:p w14:paraId="6314BE6F" w14:textId="77777777" w:rsidR="00C50E41" w:rsidRPr="00867420" w:rsidRDefault="00C50E41" w:rsidP="00C042A2">
      <w:pPr>
        <w:autoSpaceDE w:val="0"/>
        <w:autoSpaceDN w:val="0"/>
        <w:spacing w:after="0" w:line="240" w:lineRule="auto"/>
        <w:jc w:val="both"/>
        <w:rPr>
          <w:rFonts w:eastAsia="Arial" w:cs="Arial"/>
          <w:b/>
          <w:sz w:val="22"/>
        </w:rPr>
      </w:pPr>
    </w:p>
    <w:p w14:paraId="2DDAA681" w14:textId="77777777" w:rsidR="00C50E41" w:rsidRPr="00867420" w:rsidRDefault="00C50E41" w:rsidP="00C042A2">
      <w:pPr>
        <w:autoSpaceDE w:val="0"/>
        <w:autoSpaceDN w:val="0"/>
        <w:spacing w:after="0" w:line="240" w:lineRule="auto"/>
        <w:ind w:right="115"/>
        <w:jc w:val="both"/>
        <w:rPr>
          <w:rFonts w:eastAsia="Arial" w:cs="Arial"/>
          <w:sz w:val="22"/>
        </w:rPr>
      </w:pPr>
      <w:r w:rsidRPr="00867420">
        <w:rPr>
          <w:sz w:val="22"/>
        </w:rPr>
        <w:t>Public servants of any nomenclature and job classification system of the national and territorial public administration will be considered Politically Exposed Persons (</w:t>
      </w:r>
      <w:proofErr w:type="spellStart"/>
      <w:r w:rsidRPr="00867420">
        <w:rPr>
          <w:sz w:val="22"/>
        </w:rPr>
        <w:t>PEPs</w:t>
      </w:r>
      <w:proofErr w:type="spellEnd"/>
      <w:r w:rsidRPr="00867420">
        <w:rPr>
          <w:sz w:val="22"/>
        </w:rPr>
        <w:t>) when they are assigned or delegated the following functions: the issuance of rules or regulations, general management, formulation of institutional policies and adoption of plans, programs and projects, direct management of goods, money or securities of the State, administration of justice or administrative sanctioning powers, and individuals who are responsible for the direction or management of resources in political movements or parties.</w:t>
      </w:r>
    </w:p>
    <w:p w14:paraId="38327835" w14:textId="77777777" w:rsidR="00C50E41" w:rsidRPr="00867420" w:rsidRDefault="00C50E41" w:rsidP="00C042A2">
      <w:pPr>
        <w:autoSpaceDE w:val="0"/>
        <w:autoSpaceDN w:val="0"/>
        <w:spacing w:after="0" w:line="240" w:lineRule="auto"/>
        <w:ind w:right="115"/>
        <w:jc w:val="both"/>
        <w:rPr>
          <w:rFonts w:eastAsia="Arial" w:cs="Arial"/>
          <w:sz w:val="22"/>
        </w:rPr>
      </w:pPr>
    </w:p>
    <w:p w14:paraId="033A5ED3" w14:textId="77777777" w:rsidR="00C50E41" w:rsidRPr="00867420" w:rsidRDefault="00C50E41" w:rsidP="00C042A2">
      <w:pPr>
        <w:autoSpaceDE w:val="0"/>
        <w:autoSpaceDN w:val="0"/>
        <w:spacing w:after="0" w:line="240" w:lineRule="auto"/>
        <w:ind w:right="115"/>
        <w:jc w:val="both"/>
        <w:rPr>
          <w:rFonts w:eastAsia="Arial" w:cs="Arial"/>
          <w:sz w:val="22"/>
        </w:rPr>
      </w:pPr>
      <w:r w:rsidRPr="00867420">
        <w:rPr>
          <w:sz w:val="22"/>
        </w:rPr>
        <w:t xml:space="preserve">They may perform these functions through expenditure management, public procurement, investment project management, payments, </w:t>
      </w:r>
      <w:proofErr w:type="gramStart"/>
      <w:r w:rsidRPr="00867420">
        <w:rPr>
          <w:sz w:val="22"/>
        </w:rPr>
        <w:t>liquidations</w:t>
      </w:r>
      <w:proofErr w:type="gramEnd"/>
      <w:r w:rsidRPr="00867420">
        <w:rPr>
          <w:sz w:val="22"/>
        </w:rPr>
        <w:t xml:space="preserve"> and movable and immovable property management. The following shall be considered Politically Exposed Persons (</w:t>
      </w:r>
      <w:proofErr w:type="spellStart"/>
      <w:r w:rsidRPr="00867420">
        <w:rPr>
          <w:sz w:val="22"/>
        </w:rPr>
        <w:t>PEPs</w:t>
      </w:r>
      <w:proofErr w:type="spellEnd"/>
      <w:r w:rsidRPr="00867420">
        <w:rPr>
          <w:sz w:val="22"/>
        </w:rPr>
        <w:t>), by way of example, as well as those designated and/or modified by law:</w:t>
      </w:r>
    </w:p>
    <w:p w14:paraId="715488C2" w14:textId="77777777" w:rsidR="00C50E41" w:rsidRPr="00867420" w:rsidRDefault="00C50E41" w:rsidP="00C042A2">
      <w:pPr>
        <w:autoSpaceDE w:val="0"/>
        <w:autoSpaceDN w:val="0"/>
        <w:spacing w:after="0" w:line="240" w:lineRule="auto"/>
        <w:ind w:right="115"/>
        <w:jc w:val="both"/>
        <w:rPr>
          <w:rFonts w:eastAsia="Arial" w:cs="Arial"/>
          <w:sz w:val="22"/>
        </w:rPr>
      </w:pPr>
    </w:p>
    <w:p w14:paraId="530F7EF4" w14:textId="77777777" w:rsidR="00C50E41" w:rsidRPr="00867420" w:rsidRDefault="00C50E41" w:rsidP="00C042A2">
      <w:pPr>
        <w:pStyle w:val="ListParagraph"/>
        <w:numPr>
          <w:ilvl w:val="0"/>
          <w:numId w:val="8"/>
        </w:numPr>
        <w:jc w:val="both"/>
        <w:rPr>
          <w:sz w:val="22"/>
          <w:szCs w:val="24"/>
        </w:rPr>
      </w:pPr>
      <w:r w:rsidRPr="00867420">
        <w:rPr>
          <w:sz w:val="22"/>
        </w:rPr>
        <w:t xml:space="preserve">The President of the Republic, Vice President of the Republic, counselors, directors and deputy directors of administrative departments, </w:t>
      </w:r>
      <w:proofErr w:type="gramStart"/>
      <w:r w:rsidRPr="00867420">
        <w:rPr>
          <w:sz w:val="22"/>
        </w:rPr>
        <w:t>ministers</w:t>
      </w:r>
      <w:proofErr w:type="gramEnd"/>
      <w:r w:rsidRPr="00867420">
        <w:rPr>
          <w:sz w:val="22"/>
        </w:rPr>
        <w:t xml:space="preserve"> and vice ministers.</w:t>
      </w:r>
    </w:p>
    <w:p w14:paraId="14862698" w14:textId="77777777" w:rsidR="00C50E41" w:rsidRPr="00867420" w:rsidRDefault="00C50E41" w:rsidP="00C042A2">
      <w:pPr>
        <w:pStyle w:val="ListParagraph"/>
        <w:numPr>
          <w:ilvl w:val="0"/>
          <w:numId w:val="8"/>
        </w:numPr>
        <w:jc w:val="both"/>
        <w:rPr>
          <w:sz w:val="22"/>
          <w:szCs w:val="24"/>
        </w:rPr>
      </w:pPr>
      <w:r w:rsidRPr="00867420">
        <w:rPr>
          <w:sz w:val="22"/>
        </w:rPr>
        <w:t>General Secretaries, Treasurers, Financial Directors of (</w:t>
      </w:r>
      <w:proofErr w:type="spellStart"/>
      <w:r w:rsidRPr="00867420">
        <w:rPr>
          <w:sz w:val="22"/>
        </w:rPr>
        <w:t>i</w:t>
      </w:r>
      <w:proofErr w:type="spellEnd"/>
      <w:r w:rsidRPr="00867420">
        <w:rPr>
          <w:sz w:val="22"/>
        </w:rPr>
        <w:t>) Ministries, (ii) Administrative Departments, and (iii) Superintendencies or those acting in their stead.</w:t>
      </w:r>
    </w:p>
    <w:p w14:paraId="7983416C" w14:textId="77777777" w:rsidR="00C50E41" w:rsidRPr="00867420" w:rsidRDefault="00C50E41" w:rsidP="00C042A2">
      <w:pPr>
        <w:pStyle w:val="ListParagraph"/>
        <w:numPr>
          <w:ilvl w:val="0"/>
          <w:numId w:val="8"/>
        </w:numPr>
        <w:jc w:val="both"/>
        <w:rPr>
          <w:sz w:val="22"/>
          <w:szCs w:val="24"/>
        </w:rPr>
      </w:pPr>
      <w:r w:rsidRPr="00867420">
        <w:rPr>
          <w:sz w:val="22"/>
        </w:rPr>
        <w:t>Presidents, Directors, Managers, General Secretaries, Treasurers and Financial Directors of: (</w:t>
      </w:r>
      <w:proofErr w:type="spellStart"/>
      <w:r w:rsidRPr="00867420">
        <w:rPr>
          <w:sz w:val="22"/>
        </w:rPr>
        <w:t>i</w:t>
      </w:r>
      <w:proofErr w:type="spellEnd"/>
      <w:r w:rsidRPr="00867420">
        <w:rPr>
          <w:sz w:val="22"/>
        </w:rPr>
        <w:t xml:space="preserve">) Public Establishments, (ii) Special Administrative Units, (iii) Public </w:t>
      </w:r>
      <w:r w:rsidRPr="00867420">
        <w:rPr>
          <w:sz w:val="22"/>
        </w:rPr>
        <w:lastRenderedPageBreak/>
        <w:t xml:space="preserve">Utility Companies, (iv) Social Companies of the State, (v) Industrial and Commercial Companies of the State and (vi) Mixed Economy Companies. </w:t>
      </w:r>
    </w:p>
    <w:p w14:paraId="3B71D2E2" w14:textId="77777777" w:rsidR="00C50E41" w:rsidRPr="00867420" w:rsidRDefault="00C50E41" w:rsidP="00C042A2">
      <w:pPr>
        <w:pStyle w:val="ListParagraph"/>
        <w:numPr>
          <w:ilvl w:val="0"/>
          <w:numId w:val="8"/>
        </w:numPr>
        <w:jc w:val="both"/>
        <w:rPr>
          <w:sz w:val="22"/>
          <w:szCs w:val="24"/>
        </w:rPr>
      </w:pPr>
      <w:r w:rsidRPr="00867420">
        <w:rPr>
          <w:sz w:val="22"/>
        </w:rPr>
        <w:t>Superintendencies and Delegated Superintendencies.</w:t>
      </w:r>
    </w:p>
    <w:p w14:paraId="18B3EB51" w14:textId="77777777" w:rsidR="00C50E41" w:rsidRPr="00867420" w:rsidRDefault="00C50E41" w:rsidP="00C042A2">
      <w:pPr>
        <w:pStyle w:val="ListParagraph"/>
        <w:numPr>
          <w:ilvl w:val="0"/>
          <w:numId w:val="8"/>
        </w:numPr>
        <w:jc w:val="both"/>
        <w:rPr>
          <w:sz w:val="22"/>
          <w:szCs w:val="24"/>
        </w:rPr>
      </w:pPr>
      <w:r w:rsidRPr="00867420">
        <w:rPr>
          <w:sz w:val="22"/>
        </w:rPr>
        <w:t xml:space="preserve">Generals of the Military Forces and National Police, and Inspectors of the National Police. It also includes Officers and Non-Commissioned Officers empowered to order expenditures or commit the resources of public institutions. </w:t>
      </w:r>
    </w:p>
    <w:p w14:paraId="49573347" w14:textId="77777777" w:rsidR="00C50E41" w:rsidRPr="00867420" w:rsidRDefault="00C50E41" w:rsidP="00C042A2">
      <w:pPr>
        <w:pStyle w:val="ListParagraph"/>
        <w:numPr>
          <w:ilvl w:val="0"/>
          <w:numId w:val="8"/>
        </w:numPr>
        <w:jc w:val="both"/>
        <w:rPr>
          <w:sz w:val="22"/>
          <w:szCs w:val="24"/>
        </w:rPr>
      </w:pPr>
      <w:r w:rsidRPr="00867420">
        <w:rPr>
          <w:sz w:val="22"/>
        </w:rPr>
        <w:t xml:space="preserve">Governors. Mayors, Deputies, Councilors, Treasurers, Financial </w:t>
      </w:r>
      <w:proofErr w:type="gramStart"/>
      <w:r w:rsidRPr="00867420">
        <w:rPr>
          <w:sz w:val="22"/>
        </w:rPr>
        <w:t>Directors</w:t>
      </w:r>
      <w:proofErr w:type="gramEnd"/>
      <w:r w:rsidRPr="00867420">
        <w:rPr>
          <w:sz w:val="22"/>
        </w:rPr>
        <w:t xml:space="preserve"> and General Secretaries of: (</w:t>
      </w:r>
      <w:proofErr w:type="spellStart"/>
      <w:r w:rsidRPr="00867420">
        <w:rPr>
          <w:sz w:val="22"/>
        </w:rPr>
        <w:t>i</w:t>
      </w:r>
      <w:proofErr w:type="spellEnd"/>
      <w:r w:rsidRPr="00867420">
        <w:rPr>
          <w:sz w:val="22"/>
        </w:rPr>
        <w:t>) governors' offices, (ii) mayors' offices, (iii) municipal and district councils, and (iv) departmental assemblies.</w:t>
      </w:r>
    </w:p>
    <w:p w14:paraId="3157151E" w14:textId="77777777" w:rsidR="00C50E41" w:rsidRPr="00867420" w:rsidRDefault="00C50E41" w:rsidP="00C042A2">
      <w:pPr>
        <w:pStyle w:val="ListParagraph"/>
        <w:numPr>
          <w:ilvl w:val="0"/>
          <w:numId w:val="8"/>
        </w:numPr>
        <w:jc w:val="both"/>
        <w:rPr>
          <w:sz w:val="22"/>
          <w:szCs w:val="24"/>
        </w:rPr>
      </w:pPr>
      <w:r w:rsidRPr="00867420">
        <w:rPr>
          <w:sz w:val="22"/>
        </w:rPr>
        <w:t>Senators, Representatives to the House of Representatives, General Secretaries, secretaries of the permanent constitutional commissions of the Congress of the Republic and Administrative Directors of the Senate and the House of Representatives.</w:t>
      </w:r>
    </w:p>
    <w:p w14:paraId="74D1F012" w14:textId="77777777" w:rsidR="00C50E41" w:rsidRPr="00867420" w:rsidRDefault="00C50E41" w:rsidP="00C042A2">
      <w:pPr>
        <w:pStyle w:val="ListParagraph"/>
        <w:numPr>
          <w:ilvl w:val="0"/>
          <w:numId w:val="8"/>
        </w:numPr>
        <w:jc w:val="both"/>
        <w:rPr>
          <w:sz w:val="22"/>
          <w:szCs w:val="24"/>
        </w:rPr>
      </w:pPr>
      <w:r w:rsidRPr="00867420">
        <w:rPr>
          <w:sz w:val="22"/>
        </w:rPr>
        <w:t>The Manager and Joint Directors of the Central Bank (Banco de la República).</w:t>
      </w:r>
    </w:p>
    <w:p w14:paraId="34F3CA04" w14:textId="77777777" w:rsidR="00C50E41" w:rsidRPr="00867420" w:rsidRDefault="00C50E41" w:rsidP="00C042A2">
      <w:pPr>
        <w:pStyle w:val="ListParagraph"/>
        <w:numPr>
          <w:ilvl w:val="0"/>
          <w:numId w:val="8"/>
        </w:numPr>
        <w:jc w:val="both"/>
        <w:rPr>
          <w:sz w:val="22"/>
          <w:szCs w:val="24"/>
        </w:rPr>
      </w:pPr>
      <w:r w:rsidRPr="00867420">
        <w:rPr>
          <w:sz w:val="22"/>
        </w:rPr>
        <w:t>Directors and authorizing officers of the Regional Autonomous Corporations.</w:t>
      </w:r>
    </w:p>
    <w:p w14:paraId="0799CF74" w14:textId="77777777" w:rsidR="00C50E41" w:rsidRPr="00867420" w:rsidRDefault="00C50E41" w:rsidP="00C042A2">
      <w:pPr>
        <w:pStyle w:val="ListParagraph"/>
        <w:numPr>
          <w:ilvl w:val="0"/>
          <w:numId w:val="8"/>
        </w:numPr>
        <w:jc w:val="both"/>
        <w:rPr>
          <w:sz w:val="22"/>
          <w:szCs w:val="24"/>
        </w:rPr>
      </w:pPr>
      <w:r w:rsidRPr="00867420">
        <w:rPr>
          <w:sz w:val="22"/>
        </w:rPr>
        <w:t>National Civil Service Commissioners, Commissioners of the Energy and Gas Regulatory Commission, the Drinking Water and Basic Sanitation Regulatory Commission and the Communications Regulatory Commission.</w:t>
      </w:r>
    </w:p>
    <w:p w14:paraId="32B83A02" w14:textId="77777777" w:rsidR="00C50E41" w:rsidRPr="00867420" w:rsidRDefault="00C50E41" w:rsidP="00C042A2">
      <w:pPr>
        <w:pStyle w:val="ListParagraph"/>
        <w:numPr>
          <w:ilvl w:val="0"/>
          <w:numId w:val="8"/>
        </w:numPr>
        <w:jc w:val="both"/>
        <w:rPr>
          <w:sz w:val="22"/>
          <w:szCs w:val="24"/>
        </w:rPr>
      </w:pPr>
      <w:r w:rsidRPr="00867420">
        <w:rPr>
          <w:sz w:val="22"/>
        </w:rPr>
        <w:t>Magistrates, Auxiliary Magistrates of High Courts and Tribunals, Judges of the Republic, the Attorney General, Deputy Attorney General, Delegates and Directors of the Attorney General's Office.</w:t>
      </w:r>
    </w:p>
    <w:p w14:paraId="6096204A" w14:textId="77777777" w:rsidR="00C50E41" w:rsidRPr="00867420" w:rsidRDefault="00C50E41" w:rsidP="00C042A2">
      <w:pPr>
        <w:pStyle w:val="ListParagraph"/>
        <w:numPr>
          <w:ilvl w:val="0"/>
          <w:numId w:val="8"/>
        </w:numPr>
        <w:jc w:val="both"/>
        <w:rPr>
          <w:sz w:val="22"/>
          <w:szCs w:val="24"/>
        </w:rPr>
      </w:pPr>
      <w:r w:rsidRPr="00867420">
        <w:rPr>
          <w:sz w:val="22"/>
        </w:rPr>
        <w:t>Comptroller General of the Republic, Deputy Comptroller General of the Republic, Deputy Comptrollers, territorial Comptrollers, Accountant General, Inspector General, Deputy Inspector General, Delegated Inspectors General, Ombudsman, Deputy Ombudsman, Delegated Ombudsmen and Auditor General of the Republic.</w:t>
      </w:r>
    </w:p>
    <w:p w14:paraId="7A618E3F" w14:textId="77777777" w:rsidR="00C50E41" w:rsidRPr="00867420" w:rsidRDefault="00C50E41" w:rsidP="00C042A2">
      <w:pPr>
        <w:pStyle w:val="ListParagraph"/>
        <w:numPr>
          <w:ilvl w:val="0"/>
          <w:numId w:val="8"/>
        </w:numPr>
        <w:jc w:val="both"/>
        <w:rPr>
          <w:sz w:val="22"/>
          <w:szCs w:val="24"/>
        </w:rPr>
      </w:pPr>
      <w:r w:rsidRPr="00867420">
        <w:rPr>
          <w:sz w:val="22"/>
        </w:rPr>
        <w:t xml:space="preserve">Treasurers and authorizing officers of the High Courts and Tribunals, Attorney General's Office, Comptroller General's Office, Inspector General's Office, Ombudsman's Office, Accountant General's </w:t>
      </w:r>
      <w:proofErr w:type="gramStart"/>
      <w:r w:rsidRPr="00867420">
        <w:rPr>
          <w:sz w:val="22"/>
        </w:rPr>
        <w:t>Office</w:t>
      </w:r>
      <w:proofErr w:type="gramEnd"/>
      <w:r w:rsidRPr="00867420">
        <w:rPr>
          <w:sz w:val="22"/>
        </w:rPr>
        <w:t xml:space="preserve"> and Auditor General's Office.</w:t>
      </w:r>
    </w:p>
    <w:p w14:paraId="0B9AFF26" w14:textId="77777777" w:rsidR="00C50E41" w:rsidRPr="00867420" w:rsidRDefault="00C50E41" w:rsidP="00C042A2">
      <w:pPr>
        <w:pStyle w:val="ListParagraph"/>
        <w:numPr>
          <w:ilvl w:val="0"/>
          <w:numId w:val="8"/>
        </w:numPr>
        <w:jc w:val="both"/>
        <w:rPr>
          <w:sz w:val="22"/>
          <w:szCs w:val="24"/>
        </w:rPr>
      </w:pPr>
      <w:r w:rsidRPr="00867420">
        <w:rPr>
          <w:sz w:val="22"/>
        </w:rPr>
        <w:t>Magistrates of the National Electoral Council, National Civil Registrar and Delegated Registrars.</w:t>
      </w:r>
    </w:p>
    <w:p w14:paraId="543B1CCF" w14:textId="77777777" w:rsidR="00C50E41" w:rsidRPr="00867420" w:rsidRDefault="00C50E41" w:rsidP="00C042A2">
      <w:pPr>
        <w:pStyle w:val="ListParagraph"/>
        <w:numPr>
          <w:ilvl w:val="0"/>
          <w:numId w:val="8"/>
        </w:numPr>
        <w:jc w:val="both"/>
        <w:rPr>
          <w:sz w:val="22"/>
          <w:szCs w:val="24"/>
        </w:rPr>
      </w:pPr>
      <w:r w:rsidRPr="00867420">
        <w:rPr>
          <w:sz w:val="22"/>
        </w:rPr>
        <w:t>Notary Publics and Urban Curators.</w:t>
      </w:r>
    </w:p>
    <w:p w14:paraId="7ACD2064" w14:textId="77777777" w:rsidR="00C50E41" w:rsidRPr="00867420" w:rsidRDefault="00C50E41" w:rsidP="00C042A2">
      <w:pPr>
        <w:pStyle w:val="ListParagraph"/>
        <w:numPr>
          <w:ilvl w:val="0"/>
          <w:numId w:val="8"/>
        </w:numPr>
        <w:jc w:val="both"/>
        <w:rPr>
          <w:sz w:val="22"/>
          <w:szCs w:val="24"/>
        </w:rPr>
      </w:pPr>
      <w:r w:rsidRPr="00867420">
        <w:rPr>
          <w:sz w:val="22"/>
        </w:rPr>
        <w:t>Authorizers of expenditures for public universities.</w:t>
      </w:r>
    </w:p>
    <w:p w14:paraId="2A608B73" w14:textId="77777777" w:rsidR="00C50E41" w:rsidRPr="00867420" w:rsidRDefault="00C50E41" w:rsidP="00C042A2">
      <w:pPr>
        <w:pStyle w:val="ListParagraph"/>
        <w:numPr>
          <w:ilvl w:val="0"/>
          <w:numId w:val="8"/>
        </w:numPr>
        <w:jc w:val="both"/>
        <w:rPr>
          <w:sz w:val="22"/>
          <w:szCs w:val="24"/>
        </w:rPr>
      </w:pPr>
      <w:r w:rsidRPr="00867420">
        <w:rPr>
          <w:sz w:val="22"/>
        </w:rPr>
        <w:t>Legal representatives, presidents, directors and treasurers of political parties and movements, and other forms of political association recognized by law.</w:t>
      </w:r>
    </w:p>
    <w:p w14:paraId="54D27CA3" w14:textId="77777777" w:rsidR="00C50E41" w:rsidRPr="00867420" w:rsidRDefault="00C50E41" w:rsidP="00C042A2">
      <w:pPr>
        <w:pStyle w:val="ListParagraph"/>
        <w:numPr>
          <w:ilvl w:val="0"/>
          <w:numId w:val="8"/>
        </w:numPr>
        <w:jc w:val="both"/>
        <w:rPr>
          <w:sz w:val="22"/>
          <w:szCs w:val="24"/>
        </w:rPr>
      </w:pPr>
      <w:r w:rsidRPr="00867420">
        <w:rPr>
          <w:sz w:val="22"/>
        </w:rPr>
        <w:t>The trustors of stand-alone trusts or trusts that manage public resources.</w:t>
      </w:r>
    </w:p>
    <w:p w14:paraId="06C185EC" w14:textId="77777777" w:rsidR="00C50E41" w:rsidRPr="00867420" w:rsidRDefault="00C50E41" w:rsidP="00C042A2">
      <w:pPr>
        <w:autoSpaceDE w:val="0"/>
        <w:autoSpaceDN w:val="0"/>
        <w:spacing w:after="0" w:line="240" w:lineRule="auto"/>
        <w:ind w:right="115"/>
        <w:jc w:val="both"/>
        <w:rPr>
          <w:rFonts w:eastAsia="Arial" w:cs="Arial"/>
          <w:sz w:val="22"/>
        </w:rPr>
      </w:pPr>
      <w:r w:rsidRPr="00867420">
        <w:rPr>
          <w:sz w:val="22"/>
        </w:rPr>
        <w:t xml:space="preserve">Status as a Politically Exposed Person (PEP) shall be maintained during their term of office and two (2) more years after resignation, abandonment, </w:t>
      </w:r>
      <w:proofErr w:type="gramStart"/>
      <w:r w:rsidRPr="00867420">
        <w:rPr>
          <w:sz w:val="22"/>
        </w:rPr>
        <w:t>dismissal</w:t>
      </w:r>
      <w:proofErr w:type="gramEnd"/>
      <w:r w:rsidRPr="00867420">
        <w:rPr>
          <w:sz w:val="22"/>
        </w:rPr>
        <w:t xml:space="preserve"> or declaration of termination of the appointment, or any other form of disengagement or termination of the contract.</w:t>
      </w:r>
    </w:p>
    <w:p w14:paraId="493B51CD" w14:textId="77777777" w:rsidR="00C50E41" w:rsidRPr="00867420" w:rsidRDefault="00C50E41" w:rsidP="00C042A2">
      <w:pPr>
        <w:autoSpaceDE w:val="0"/>
        <w:autoSpaceDN w:val="0"/>
        <w:spacing w:after="0" w:line="240" w:lineRule="auto"/>
        <w:ind w:right="115"/>
        <w:jc w:val="both"/>
        <w:rPr>
          <w:rFonts w:eastAsia="Arial" w:cs="Arial"/>
          <w:sz w:val="22"/>
        </w:rPr>
      </w:pPr>
    </w:p>
    <w:p w14:paraId="03BDFF9E" w14:textId="77777777" w:rsidR="00C50E41" w:rsidRPr="00867420" w:rsidRDefault="00C50E41" w:rsidP="00C042A2">
      <w:pPr>
        <w:autoSpaceDE w:val="0"/>
        <w:autoSpaceDN w:val="0"/>
        <w:spacing w:after="0" w:line="240" w:lineRule="auto"/>
        <w:ind w:right="115"/>
        <w:jc w:val="both"/>
        <w:rPr>
          <w:rFonts w:eastAsia="Arial" w:cs="Arial"/>
          <w:sz w:val="22"/>
        </w:rPr>
      </w:pPr>
      <w:proofErr w:type="spellStart"/>
      <w:r w:rsidRPr="00867420">
        <w:rPr>
          <w:sz w:val="22"/>
        </w:rPr>
        <w:lastRenderedPageBreak/>
        <w:t>PEPs</w:t>
      </w:r>
      <w:proofErr w:type="spellEnd"/>
      <w:r w:rsidRPr="00867420">
        <w:rPr>
          <w:sz w:val="22"/>
        </w:rPr>
        <w:t xml:space="preserve"> must fill out the form defined by the Compliance Department and/or the authority acting in its stead, in accordance with the established procedure.</w:t>
      </w:r>
    </w:p>
    <w:p w14:paraId="2B03F138" w14:textId="77777777" w:rsidR="00C50E41" w:rsidRPr="00867420" w:rsidRDefault="00C50E41" w:rsidP="00C042A2">
      <w:pPr>
        <w:tabs>
          <w:tab w:val="left" w:pos="1542"/>
        </w:tabs>
        <w:autoSpaceDE w:val="0"/>
        <w:autoSpaceDN w:val="0"/>
        <w:spacing w:after="0" w:line="240" w:lineRule="auto"/>
        <w:ind w:left="1542" w:right="126"/>
        <w:jc w:val="both"/>
        <w:rPr>
          <w:rFonts w:eastAsia="Arial" w:cs="Arial"/>
          <w:sz w:val="22"/>
        </w:rPr>
      </w:pPr>
    </w:p>
    <w:p w14:paraId="5149BA40" w14:textId="77777777" w:rsidR="00C50E41" w:rsidRPr="00867420" w:rsidRDefault="00C50E41" w:rsidP="00C042A2">
      <w:pPr>
        <w:tabs>
          <w:tab w:val="left" w:pos="1542"/>
        </w:tabs>
        <w:spacing w:after="0" w:line="240" w:lineRule="auto"/>
        <w:ind w:right="117"/>
        <w:jc w:val="both"/>
        <w:rPr>
          <w:rFonts w:eastAsia="Calibri" w:cs="Arial"/>
          <w:sz w:val="22"/>
        </w:rPr>
      </w:pPr>
      <w:r w:rsidRPr="00867420">
        <w:rPr>
          <w:sz w:val="22"/>
        </w:rPr>
        <w:t>Whenever a Shareholder or Investor that must be listed as a PEP is going to be associated, once the requirements for associating a Shareholder or Investor have been met, all the supporting documents must be sent to the hierarchical superior corresponding to the area carrying out the association for approval and reporting to the Compliance Department.</w:t>
      </w:r>
    </w:p>
    <w:p w14:paraId="147AF8FA" w14:textId="07338AE5" w:rsidR="00C50E41" w:rsidRPr="00867420" w:rsidRDefault="00C50E41" w:rsidP="00C042A2">
      <w:pPr>
        <w:autoSpaceDE w:val="0"/>
        <w:autoSpaceDN w:val="0"/>
        <w:spacing w:after="0" w:line="240" w:lineRule="auto"/>
        <w:jc w:val="both"/>
        <w:rPr>
          <w:rFonts w:eastAsia="Arial" w:cs="Arial"/>
          <w:sz w:val="22"/>
        </w:rPr>
      </w:pPr>
    </w:p>
    <w:p w14:paraId="5F642C5C" w14:textId="77777777" w:rsidR="00AF3DDD" w:rsidRPr="00867420" w:rsidRDefault="00AF3DDD" w:rsidP="00C042A2">
      <w:pPr>
        <w:autoSpaceDE w:val="0"/>
        <w:autoSpaceDN w:val="0"/>
        <w:spacing w:after="0" w:line="240" w:lineRule="auto"/>
        <w:jc w:val="both"/>
        <w:rPr>
          <w:rFonts w:eastAsia="Arial" w:cs="Arial"/>
          <w:sz w:val="22"/>
        </w:rPr>
      </w:pPr>
    </w:p>
    <w:p w14:paraId="4CAE4C7C" w14:textId="249BC725" w:rsidR="00C50E41" w:rsidRPr="00867420" w:rsidRDefault="00C50E41" w:rsidP="00C042A2">
      <w:pPr>
        <w:pStyle w:val="Heading2"/>
      </w:pPr>
      <w:bookmarkStart w:id="26" w:name="_bookmark9"/>
      <w:bookmarkStart w:id="27" w:name="_Toc95152440"/>
      <w:bookmarkStart w:id="28" w:name="_Toc95158776"/>
      <w:bookmarkEnd w:id="26"/>
      <w:r w:rsidRPr="00867420">
        <w:t>Electronically Consolidating the Cash Transactions of the Shareholder or Investor</w:t>
      </w:r>
      <w:bookmarkEnd w:id="27"/>
      <w:bookmarkEnd w:id="28"/>
    </w:p>
    <w:p w14:paraId="55B91DB1" w14:textId="77777777" w:rsidR="00C50E41" w:rsidRPr="00867420" w:rsidRDefault="00C50E41" w:rsidP="00C042A2">
      <w:pPr>
        <w:autoSpaceDE w:val="0"/>
        <w:autoSpaceDN w:val="0"/>
        <w:spacing w:after="0" w:line="240" w:lineRule="auto"/>
        <w:jc w:val="both"/>
        <w:rPr>
          <w:rFonts w:eastAsia="Arial" w:cs="Arial"/>
          <w:b/>
          <w:sz w:val="22"/>
        </w:rPr>
      </w:pPr>
    </w:p>
    <w:p w14:paraId="39B4F7AD" w14:textId="77777777" w:rsidR="00C50E41" w:rsidRPr="00867420" w:rsidRDefault="00C50E41" w:rsidP="00C042A2">
      <w:pPr>
        <w:autoSpaceDE w:val="0"/>
        <w:autoSpaceDN w:val="0"/>
        <w:spacing w:after="0" w:line="240" w:lineRule="auto"/>
        <w:ind w:right="125"/>
        <w:jc w:val="both"/>
        <w:rPr>
          <w:rFonts w:eastAsia="Arial" w:cs="Arial"/>
          <w:sz w:val="22"/>
        </w:rPr>
      </w:pPr>
      <w:r w:rsidRPr="00867420">
        <w:rPr>
          <w:sz w:val="22"/>
        </w:rPr>
        <w:t>GEB, through Investor Relations Management or the department acting in its stead, consolidates all transactions carried out by Shareholders or Investors to inform the Compliance Department or the department acting in its stead and monitor them to detect possible unusual operations and make their respective suspicious operation report, in accordance with the established procedure.</w:t>
      </w:r>
    </w:p>
    <w:p w14:paraId="209B8A43" w14:textId="77777777" w:rsidR="00C50E41" w:rsidRPr="00867420" w:rsidRDefault="00C50E41" w:rsidP="00C042A2"/>
    <w:p w14:paraId="71839D58" w14:textId="6B8D2399" w:rsidR="38D72EEC" w:rsidRPr="00867420" w:rsidRDefault="38D72EEC" w:rsidP="00C042A2">
      <w:pPr>
        <w:pStyle w:val="Estilo1"/>
      </w:pPr>
      <w:r w:rsidRPr="00867420">
        <w:t>DEFINITIONS AND ACRONYMS</w:t>
      </w:r>
    </w:p>
    <w:p w14:paraId="37C7F774" w14:textId="52DAF9F6" w:rsidR="0074085C" w:rsidRPr="00867420" w:rsidRDefault="0074085C" w:rsidP="00C042A2">
      <w:pPr>
        <w:pStyle w:val="BlockText2"/>
        <w:spacing w:after="0" w:line="240" w:lineRule="auto"/>
        <w:rPr>
          <w:i/>
          <w:iCs/>
        </w:rPr>
      </w:pPr>
    </w:p>
    <w:p w14:paraId="70C04DC4" w14:textId="047872E5" w:rsidR="006C5B9E" w:rsidRPr="00867420" w:rsidRDefault="0074085C" w:rsidP="00C042A2">
      <w:pPr>
        <w:autoSpaceDE w:val="0"/>
        <w:autoSpaceDN w:val="0"/>
        <w:spacing w:after="0" w:line="240" w:lineRule="auto"/>
        <w:ind w:right="125"/>
        <w:jc w:val="both"/>
        <w:rPr>
          <w:rFonts w:eastAsia="Arial" w:cs="Arial"/>
          <w:b/>
          <w:color w:val="00B050"/>
          <w:sz w:val="22"/>
        </w:rPr>
      </w:pPr>
      <w:r w:rsidRPr="00867420">
        <w:rPr>
          <w:sz w:val="22"/>
        </w:rPr>
        <w:t xml:space="preserve">The definitions and acronyms of the document </w:t>
      </w:r>
      <w:r w:rsidRPr="00867420">
        <w:rPr>
          <w:b/>
          <w:color w:val="00B050"/>
          <w:sz w:val="22"/>
        </w:rPr>
        <w:t>CUM-MAN-001, Manual for the Prevention and Control of Money Laundering, Terrorist Financing and Financing the Proliferation of Weapons of Mass Destruction are applied</w:t>
      </w:r>
      <w:r w:rsidRPr="00867420">
        <w:rPr>
          <w:sz w:val="22"/>
        </w:rPr>
        <w:t>.</w:t>
      </w:r>
    </w:p>
    <w:p w14:paraId="369B7DAA" w14:textId="77777777" w:rsidR="006C5B9E" w:rsidRPr="00867420" w:rsidRDefault="006C5B9E" w:rsidP="00C042A2">
      <w:pPr>
        <w:autoSpaceDE w:val="0"/>
        <w:autoSpaceDN w:val="0"/>
        <w:spacing w:after="0" w:line="240" w:lineRule="auto"/>
        <w:ind w:right="125"/>
        <w:jc w:val="both"/>
        <w:rPr>
          <w:rFonts w:eastAsia="Arial" w:cs="Arial"/>
          <w:bCs/>
          <w:sz w:val="22"/>
        </w:rPr>
      </w:pPr>
    </w:p>
    <w:p w14:paraId="1AB88CA9" w14:textId="3ED2977B" w:rsidR="0074085C" w:rsidRDefault="0074085C" w:rsidP="00C042A2">
      <w:pPr>
        <w:pStyle w:val="BlockText2"/>
        <w:spacing w:after="0" w:line="240" w:lineRule="auto"/>
        <w:rPr>
          <w:i/>
          <w:iCs/>
        </w:rPr>
      </w:pPr>
    </w:p>
    <w:p w14:paraId="300A203A" w14:textId="0F83230C" w:rsidR="009A185E" w:rsidRDefault="009A185E" w:rsidP="00C042A2">
      <w:pPr>
        <w:pStyle w:val="BlockText2"/>
        <w:spacing w:after="0" w:line="240" w:lineRule="auto"/>
        <w:rPr>
          <w:i/>
          <w:iCs/>
        </w:rPr>
      </w:pPr>
    </w:p>
    <w:p w14:paraId="34E42BE6" w14:textId="3074D44C" w:rsidR="009A185E" w:rsidRDefault="009A185E" w:rsidP="00C042A2">
      <w:pPr>
        <w:pStyle w:val="BlockText2"/>
        <w:spacing w:after="0" w:line="240" w:lineRule="auto"/>
        <w:rPr>
          <w:i/>
          <w:iCs/>
        </w:rPr>
      </w:pPr>
    </w:p>
    <w:p w14:paraId="0D0134DD" w14:textId="0255C02E" w:rsidR="009A185E" w:rsidRDefault="009A185E" w:rsidP="00C042A2">
      <w:pPr>
        <w:pStyle w:val="BlockText2"/>
        <w:spacing w:after="0" w:line="240" w:lineRule="auto"/>
        <w:rPr>
          <w:i/>
          <w:iCs/>
        </w:rPr>
      </w:pPr>
    </w:p>
    <w:p w14:paraId="2EBA5989" w14:textId="3E09B8C9" w:rsidR="009A185E" w:rsidRDefault="009A185E" w:rsidP="00C042A2">
      <w:pPr>
        <w:pStyle w:val="BlockText2"/>
        <w:spacing w:after="0" w:line="240" w:lineRule="auto"/>
        <w:rPr>
          <w:i/>
          <w:iCs/>
        </w:rPr>
      </w:pPr>
    </w:p>
    <w:p w14:paraId="1602C399" w14:textId="77777777" w:rsidR="009A185E" w:rsidRPr="00867420" w:rsidRDefault="009A185E" w:rsidP="00C042A2">
      <w:pPr>
        <w:pStyle w:val="BlockText2"/>
        <w:spacing w:after="0" w:line="240" w:lineRule="auto"/>
        <w:rPr>
          <w:i/>
          <w:iCs/>
        </w:rPr>
      </w:pPr>
    </w:p>
    <w:p w14:paraId="4E360773" w14:textId="77777777" w:rsidR="004207B4" w:rsidRPr="00867420" w:rsidRDefault="004207B4" w:rsidP="00C042A2">
      <w:pPr>
        <w:pStyle w:val="Estilo1"/>
      </w:pPr>
      <w:r w:rsidRPr="00867420">
        <w:t>DOCUMENTARY CONTROL</w:t>
      </w:r>
    </w:p>
    <w:p w14:paraId="71E61223" w14:textId="77777777" w:rsidR="004207B4" w:rsidRPr="00867420" w:rsidRDefault="004207B4" w:rsidP="00C042A2">
      <w:pPr>
        <w:spacing w:after="0" w:line="240" w:lineRule="auto"/>
      </w:pPr>
    </w:p>
    <w:tbl>
      <w:tblPr>
        <w:tblStyle w:val="LightList-Accent1"/>
        <w:tblW w:w="5000" w:type="pct"/>
        <w:tblBorders>
          <w:bottom w:val="single" w:sz="4" w:space="0" w:color="auto"/>
          <w:insideH w:val="single" w:sz="8" w:space="0" w:color="4F81BD" w:themeColor="accent1"/>
          <w:insideV w:val="single" w:sz="8" w:space="0" w:color="4F81BD" w:themeColor="accent1"/>
        </w:tblBorders>
        <w:tblLook w:val="00A0" w:firstRow="1" w:lastRow="0" w:firstColumn="1" w:lastColumn="0" w:noHBand="0" w:noVBand="0"/>
      </w:tblPr>
      <w:tblGrid>
        <w:gridCol w:w="1973"/>
        <w:gridCol w:w="1974"/>
        <w:gridCol w:w="1927"/>
        <w:gridCol w:w="3180"/>
      </w:tblGrid>
      <w:tr w:rsidR="004207B4" w:rsidRPr="00867420" w14:paraId="14687754" w14:textId="77777777" w:rsidTr="00081EF9">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090"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2252ABFF" w14:textId="77777777" w:rsidR="004207B4" w:rsidRPr="00867420" w:rsidRDefault="004207B4" w:rsidP="00C042A2">
            <w:pPr>
              <w:jc w:val="center"/>
              <w:rPr>
                <w:rFonts w:eastAsia="Times New Roman" w:cs="Arial"/>
                <w:color w:val="FFFFFF"/>
                <w:szCs w:val="18"/>
              </w:rPr>
            </w:pPr>
            <w:r w:rsidRPr="00867420">
              <w:rPr>
                <w:color w:val="FFFFFF"/>
              </w:rPr>
              <w:t>Version No.</w:t>
            </w:r>
          </w:p>
        </w:tc>
        <w:tc>
          <w:tcPr>
            <w:cnfStyle w:val="000010000000" w:firstRow="0" w:lastRow="0" w:firstColumn="0" w:lastColumn="0" w:oddVBand="1" w:evenVBand="0" w:oddHBand="0" w:evenHBand="0" w:firstRowFirstColumn="0" w:firstRowLastColumn="0" w:lastRowFirstColumn="0" w:lastRowLastColumn="0"/>
            <w:tcW w:w="1090"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589D2309" w14:textId="77777777" w:rsidR="004207B4" w:rsidRPr="00867420" w:rsidRDefault="004207B4" w:rsidP="00C042A2">
            <w:pPr>
              <w:jc w:val="center"/>
              <w:rPr>
                <w:rFonts w:eastAsia="Times New Roman" w:cs="Arial"/>
                <w:color w:val="FFFFFF"/>
                <w:szCs w:val="18"/>
              </w:rPr>
            </w:pPr>
            <w:r w:rsidRPr="00867420">
              <w:rPr>
                <w:color w:val="FFFFFF"/>
              </w:rPr>
              <w:t>Version date</w:t>
            </w:r>
          </w:p>
        </w:tc>
        <w:tc>
          <w:tcPr>
            <w:tcW w:w="1064" w:type="pct"/>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1F560276" w14:textId="77777777" w:rsidR="004207B4" w:rsidRPr="00867420" w:rsidRDefault="004207B4" w:rsidP="00C042A2">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18"/>
              </w:rPr>
            </w:pPr>
            <w:r w:rsidRPr="00867420">
              <w:rPr>
                <w:color w:val="FFFFFF"/>
              </w:rPr>
              <w:t>Certificate of approval of documentation</w:t>
            </w:r>
          </w:p>
        </w:tc>
        <w:tc>
          <w:tcPr>
            <w:cnfStyle w:val="000010000000" w:firstRow="0" w:lastRow="0" w:firstColumn="0" w:lastColumn="0" w:oddVBand="1" w:evenVBand="0" w:oddHBand="0" w:evenHBand="0" w:firstRowFirstColumn="0" w:firstRowLastColumn="0" w:lastRowFirstColumn="0" w:lastRowLastColumn="0"/>
            <w:tcW w:w="1757" w:type="pct"/>
            <w:tcBorders>
              <w:top w:val="single" w:sz="4" w:space="0" w:color="00B050"/>
              <w:left w:val="single" w:sz="4" w:space="0" w:color="00B050"/>
              <w:bottom w:val="single" w:sz="4" w:space="0" w:color="00B050"/>
              <w:right w:val="single" w:sz="4" w:space="0" w:color="00B050"/>
            </w:tcBorders>
            <w:shd w:val="clear" w:color="auto" w:fill="00B050"/>
            <w:vAlign w:val="center"/>
          </w:tcPr>
          <w:p w14:paraId="41A93BD0" w14:textId="77777777" w:rsidR="004207B4" w:rsidRPr="00867420" w:rsidRDefault="004207B4" w:rsidP="00C042A2">
            <w:pPr>
              <w:jc w:val="center"/>
              <w:rPr>
                <w:rFonts w:eastAsia="Times New Roman" w:cs="Arial"/>
                <w:b w:val="0"/>
                <w:bCs w:val="0"/>
                <w:color w:val="FFFFFF"/>
                <w:szCs w:val="18"/>
              </w:rPr>
            </w:pPr>
            <w:r w:rsidRPr="00867420">
              <w:rPr>
                <w:color w:val="FFFFFF"/>
              </w:rPr>
              <w:t>Reason for update</w:t>
            </w:r>
          </w:p>
        </w:tc>
      </w:tr>
      <w:tr w:rsidR="00A3536D" w:rsidRPr="00867420" w14:paraId="44218DB6" w14:textId="77777777" w:rsidTr="00081EF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90" w:type="pct"/>
            <w:tcBorders>
              <w:top w:val="single" w:sz="4" w:space="0" w:color="00B050"/>
              <w:left w:val="single" w:sz="4" w:space="0" w:color="00B050"/>
              <w:bottom w:val="single" w:sz="4" w:space="0" w:color="00B050"/>
              <w:right w:val="single" w:sz="4" w:space="0" w:color="00B050"/>
            </w:tcBorders>
            <w:noWrap/>
          </w:tcPr>
          <w:p w14:paraId="06B6800D" w14:textId="5190AE33" w:rsidR="00A3536D" w:rsidRPr="00867420" w:rsidRDefault="00081EF9" w:rsidP="00C042A2">
            <w:pPr>
              <w:jc w:val="center"/>
              <w:rPr>
                <w:rFonts w:eastAsia="Times New Roman" w:cs="Arial"/>
                <w:b w:val="0"/>
                <w:color w:val="000000"/>
                <w:sz w:val="22"/>
                <w:szCs w:val="24"/>
              </w:rPr>
            </w:pPr>
            <w:r w:rsidRPr="00867420">
              <w:rPr>
                <w:b w:val="0"/>
                <w:color w:val="000000"/>
                <w:sz w:val="22"/>
              </w:rPr>
              <w:t>1</w:t>
            </w:r>
          </w:p>
        </w:tc>
        <w:tc>
          <w:tcPr>
            <w:cnfStyle w:val="000010000000" w:firstRow="0" w:lastRow="0" w:firstColumn="0" w:lastColumn="0" w:oddVBand="1" w:evenVBand="0" w:oddHBand="0" w:evenHBand="0" w:firstRowFirstColumn="0" w:firstRowLastColumn="0" w:lastRowFirstColumn="0" w:lastRowLastColumn="0"/>
            <w:tcW w:w="1090" w:type="pct"/>
            <w:tcBorders>
              <w:top w:val="single" w:sz="4" w:space="0" w:color="00B050"/>
              <w:left w:val="single" w:sz="4" w:space="0" w:color="00B050"/>
              <w:bottom w:val="single" w:sz="4" w:space="0" w:color="00B050"/>
              <w:right w:val="single" w:sz="4" w:space="0" w:color="00B050"/>
            </w:tcBorders>
            <w:noWrap/>
          </w:tcPr>
          <w:p w14:paraId="225B1E7C" w14:textId="6A0E14AF" w:rsidR="00A3536D" w:rsidRPr="00867420" w:rsidRDefault="00A3536D" w:rsidP="00C042A2">
            <w:pPr>
              <w:jc w:val="center"/>
              <w:rPr>
                <w:rFonts w:eastAsia="Times New Roman" w:cs="Arial"/>
                <w:color w:val="000000"/>
                <w:sz w:val="22"/>
                <w:szCs w:val="24"/>
                <w:lang w:eastAsia="es-CO"/>
              </w:rPr>
            </w:pPr>
          </w:p>
        </w:tc>
        <w:tc>
          <w:tcPr>
            <w:tcW w:w="1064" w:type="pct"/>
            <w:tcBorders>
              <w:top w:val="single" w:sz="4" w:space="0" w:color="00B050"/>
              <w:left w:val="single" w:sz="4" w:space="0" w:color="00B050"/>
              <w:bottom w:val="single" w:sz="4" w:space="0" w:color="00B050"/>
              <w:right w:val="single" w:sz="4" w:space="0" w:color="00B050"/>
            </w:tcBorders>
          </w:tcPr>
          <w:p w14:paraId="1CAD3186" w14:textId="5F5FE3F1" w:rsidR="00A3536D" w:rsidRPr="00867420" w:rsidRDefault="00081EF9" w:rsidP="00C042A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 w:val="22"/>
                <w:szCs w:val="24"/>
              </w:rPr>
            </w:pPr>
            <w:r w:rsidRPr="00867420">
              <w:rPr>
                <w:color w:val="000000" w:themeColor="text1"/>
                <w:sz w:val="22"/>
              </w:rPr>
              <w:t>Not Applicable</w:t>
            </w:r>
          </w:p>
        </w:tc>
        <w:tc>
          <w:tcPr>
            <w:cnfStyle w:val="000010000000" w:firstRow="0" w:lastRow="0" w:firstColumn="0" w:lastColumn="0" w:oddVBand="1" w:evenVBand="0" w:oddHBand="0" w:evenHBand="0" w:firstRowFirstColumn="0" w:firstRowLastColumn="0" w:lastRowFirstColumn="0" w:lastRowLastColumn="0"/>
            <w:tcW w:w="1757" w:type="pct"/>
            <w:tcBorders>
              <w:top w:val="single" w:sz="4" w:space="0" w:color="00B050"/>
              <w:left w:val="single" w:sz="4" w:space="0" w:color="00B050"/>
              <w:bottom w:val="single" w:sz="4" w:space="0" w:color="00B050"/>
              <w:right w:val="single" w:sz="4" w:space="0" w:color="00B050"/>
            </w:tcBorders>
          </w:tcPr>
          <w:p w14:paraId="3B51972E" w14:textId="3BA0F3D8" w:rsidR="00A3536D" w:rsidRPr="00867420" w:rsidRDefault="00081EF9" w:rsidP="00C042A2">
            <w:pPr>
              <w:autoSpaceDE w:val="0"/>
              <w:autoSpaceDN w:val="0"/>
              <w:adjustRightInd w:val="0"/>
              <w:jc w:val="both"/>
              <w:rPr>
                <w:iCs/>
                <w:sz w:val="22"/>
                <w:szCs w:val="24"/>
              </w:rPr>
            </w:pPr>
            <w:r w:rsidRPr="00867420">
              <w:rPr>
                <w:sz w:val="22"/>
              </w:rPr>
              <w:t xml:space="preserve">This guide is created to guide </w:t>
            </w:r>
            <w:proofErr w:type="spellStart"/>
            <w:r w:rsidRPr="00867420">
              <w:rPr>
                <w:sz w:val="22"/>
              </w:rPr>
              <w:t>GEB’s</w:t>
            </w:r>
            <w:proofErr w:type="spellEnd"/>
            <w:r w:rsidRPr="00867420">
              <w:rPr>
                <w:sz w:val="22"/>
              </w:rPr>
              <w:t xml:space="preserve"> processes when placing the company’s shares in the primary market directly, which means when the placement is not made through an institution supervised by the </w:t>
            </w:r>
            <w:proofErr w:type="spellStart"/>
            <w:r w:rsidRPr="00867420">
              <w:rPr>
                <w:sz w:val="22"/>
              </w:rPr>
              <w:t>SFC</w:t>
            </w:r>
            <w:proofErr w:type="spellEnd"/>
            <w:r w:rsidRPr="00867420">
              <w:rPr>
                <w:sz w:val="22"/>
              </w:rPr>
              <w:t>.</w:t>
            </w:r>
          </w:p>
        </w:tc>
      </w:tr>
    </w:tbl>
    <w:p w14:paraId="5E6CFBAD" w14:textId="77777777" w:rsidR="004207B4" w:rsidRPr="00867420" w:rsidRDefault="004207B4" w:rsidP="00C042A2">
      <w:pPr>
        <w:spacing w:after="0" w:line="240" w:lineRule="auto"/>
        <w:jc w:val="both"/>
        <w:rPr>
          <w:color w:val="000000" w:themeColor="text1"/>
          <w:szCs w:val="24"/>
        </w:rPr>
      </w:pPr>
    </w:p>
    <w:tbl>
      <w:tblPr>
        <w:tblStyle w:val="LightList-Accent13"/>
        <w:tblW w:w="5000" w:type="pct"/>
        <w:tblLook w:val="0020" w:firstRow="1" w:lastRow="0" w:firstColumn="0" w:lastColumn="0" w:noHBand="0" w:noVBand="0"/>
      </w:tblPr>
      <w:tblGrid>
        <w:gridCol w:w="1671"/>
        <w:gridCol w:w="2244"/>
        <w:gridCol w:w="2501"/>
        <w:gridCol w:w="2638"/>
      </w:tblGrid>
      <w:tr w:rsidR="004207B4" w:rsidRPr="00867420" w14:paraId="43CAB79F" w14:textId="77777777" w:rsidTr="00BA5C11">
        <w:trPr>
          <w:cnfStyle w:val="100000000000" w:firstRow="1" w:lastRow="0" w:firstColumn="0" w:lastColumn="0" w:oddVBand="0" w:evenVBand="0" w:oddHBand="0" w:evenHBand="0" w:firstRowFirstColumn="0" w:firstRowLastColumn="0" w:lastRowFirstColumn="0" w:lastRowLastColumn="0"/>
          <w:trHeight w:hRule="exact" w:val="445"/>
        </w:trPr>
        <w:tc>
          <w:tcPr>
            <w:cnfStyle w:val="000010000000" w:firstRow="0" w:lastRow="0" w:firstColumn="0" w:lastColumn="0" w:oddVBand="1" w:evenVBand="0" w:oddHBand="0" w:evenHBand="0" w:firstRowFirstColumn="0" w:firstRowLastColumn="0" w:lastRowFirstColumn="0" w:lastRowLastColumn="0"/>
            <w:tcW w:w="923" w:type="pct"/>
            <w:tcBorders>
              <w:top w:val="single" w:sz="4" w:space="0" w:color="00B050"/>
              <w:left w:val="single" w:sz="4" w:space="0" w:color="00B050"/>
              <w:right w:val="single" w:sz="4" w:space="0" w:color="00B050"/>
            </w:tcBorders>
            <w:shd w:val="clear" w:color="auto" w:fill="00B050"/>
          </w:tcPr>
          <w:p w14:paraId="15FFF8FD" w14:textId="77777777" w:rsidR="004207B4" w:rsidRPr="00867420" w:rsidRDefault="004207B4" w:rsidP="00C042A2">
            <w:pPr>
              <w:jc w:val="center"/>
              <w:rPr>
                <w:rFonts w:eastAsia="Times New Roman" w:cs="Arial"/>
                <w:color w:val="FFFFFF"/>
                <w:sz w:val="22"/>
                <w:szCs w:val="18"/>
                <w:lang w:eastAsia="es-CO"/>
              </w:rPr>
            </w:pPr>
          </w:p>
        </w:tc>
        <w:tc>
          <w:tcPr>
            <w:tcW w:w="1239" w:type="pct"/>
            <w:tcBorders>
              <w:top w:val="single" w:sz="4" w:space="0" w:color="00B050"/>
              <w:left w:val="single" w:sz="4" w:space="0" w:color="00B050"/>
              <w:right w:val="single" w:sz="4" w:space="0" w:color="00B050"/>
            </w:tcBorders>
            <w:shd w:val="clear" w:color="auto" w:fill="00B050"/>
            <w:vAlign w:val="center"/>
          </w:tcPr>
          <w:p w14:paraId="17FFACEC" w14:textId="77777777" w:rsidR="004207B4" w:rsidRPr="00867420" w:rsidRDefault="004207B4" w:rsidP="00C042A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sz w:val="22"/>
                <w:szCs w:val="18"/>
              </w:rPr>
            </w:pPr>
            <w:r w:rsidRPr="00867420">
              <w:rPr>
                <w:rFonts w:asciiTheme="minorHAnsi" w:hAnsiTheme="minorHAnsi"/>
                <w:color w:val="FFFFFF"/>
                <w:sz w:val="22"/>
              </w:rPr>
              <w:t>Name</w:t>
            </w:r>
          </w:p>
        </w:tc>
        <w:tc>
          <w:tcPr>
            <w:cnfStyle w:val="000010000000" w:firstRow="0" w:lastRow="0" w:firstColumn="0" w:lastColumn="0" w:oddVBand="1" w:evenVBand="0" w:oddHBand="0" w:evenHBand="0" w:firstRowFirstColumn="0" w:firstRowLastColumn="0" w:lastRowFirstColumn="0" w:lastRowLastColumn="0"/>
            <w:tcW w:w="1381" w:type="pct"/>
            <w:tcBorders>
              <w:top w:val="single" w:sz="4" w:space="0" w:color="00B050"/>
              <w:left w:val="single" w:sz="4" w:space="0" w:color="00B050"/>
              <w:right w:val="single" w:sz="4" w:space="0" w:color="00B050"/>
            </w:tcBorders>
            <w:shd w:val="clear" w:color="auto" w:fill="00B050"/>
            <w:vAlign w:val="center"/>
          </w:tcPr>
          <w:p w14:paraId="46999740" w14:textId="77777777" w:rsidR="004207B4" w:rsidRPr="00867420" w:rsidRDefault="004207B4" w:rsidP="00C042A2">
            <w:pPr>
              <w:jc w:val="center"/>
              <w:rPr>
                <w:rFonts w:asciiTheme="minorHAnsi" w:eastAsia="Times New Roman" w:hAnsiTheme="minorHAnsi" w:cs="Arial"/>
                <w:color w:val="FFFFFF"/>
                <w:sz w:val="22"/>
                <w:szCs w:val="18"/>
              </w:rPr>
            </w:pPr>
            <w:r w:rsidRPr="00867420">
              <w:rPr>
                <w:rFonts w:asciiTheme="minorHAnsi" w:hAnsiTheme="minorHAnsi"/>
                <w:color w:val="FFFFFF"/>
                <w:sz w:val="22"/>
              </w:rPr>
              <w:t>Position</w:t>
            </w:r>
          </w:p>
        </w:tc>
        <w:tc>
          <w:tcPr>
            <w:tcW w:w="1457" w:type="pct"/>
            <w:tcBorders>
              <w:top w:val="single" w:sz="4" w:space="0" w:color="00B050"/>
              <w:left w:val="single" w:sz="4" w:space="0" w:color="00B050"/>
              <w:right w:val="single" w:sz="4" w:space="0" w:color="00B050"/>
            </w:tcBorders>
            <w:shd w:val="clear" w:color="auto" w:fill="00B050"/>
            <w:vAlign w:val="center"/>
          </w:tcPr>
          <w:p w14:paraId="0D4C50F6" w14:textId="77777777" w:rsidR="004207B4" w:rsidRPr="00867420" w:rsidRDefault="004207B4" w:rsidP="00C042A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color w:val="FFFFFF"/>
                <w:sz w:val="22"/>
                <w:szCs w:val="18"/>
              </w:rPr>
            </w:pPr>
            <w:r w:rsidRPr="00867420">
              <w:rPr>
                <w:rFonts w:asciiTheme="minorHAnsi" w:hAnsiTheme="minorHAnsi"/>
                <w:color w:val="FFFFFF"/>
                <w:sz w:val="22"/>
              </w:rPr>
              <w:t>Area</w:t>
            </w:r>
          </w:p>
        </w:tc>
      </w:tr>
      <w:tr w:rsidR="00BA5C11" w:rsidRPr="00867420" w14:paraId="1250F089" w14:textId="77777777" w:rsidTr="00BA5C11">
        <w:trPr>
          <w:cnfStyle w:val="000000100000" w:firstRow="0" w:lastRow="0" w:firstColumn="0" w:lastColumn="0" w:oddVBand="0" w:evenVBand="0" w:oddHBand="1" w:evenHBand="0" w:firstRowFirstColumn="0" w:firstRowLastColumn="0" w:lastRowFirstColumn="0" w:lastRowLastColumn="0"/>
          <w:trHeight w:val="716"/>
        </w:trPr>
        <w:tc>
          <w:tcPr>
            <w:cnfStyle w:val="000010000000" w:firstRow="0" w:lastRow="0" w:firstColumn="0" w:lastColumn="0" w:oddVBand="1" w:evenVBand="0" w:oddHBand="0" w:evenHBand="0" w:firstRowFirstColumn="0" w:firstRowLastColumn="0" w:lastRowFirstColumn="0" w:lastRowLastColumn="0"/>
            <w:tcW w:w="923" w:type="pct"/>
            <w:tcBorders>
              <w:left w:val="single" w:sz="4" w:space="0" w:color="00B050"/>
              <w:bottom w:val="single" w:sz="4" w:space="0" w:color="00B050"/>
              <w:right w:val="single" w:sz="4" w:space="0" w:color="00B050"/>
            </w:tcBorders>
          </w:tcPr>
          <w:p w14:paraId="52F328D3" w14:textId="77777777" w:rsidR="00BA5C11" w:rsidRPr="00867420" w:rsidRDefault="00BA5C11" w:rsidP="00C042A2">
            <w:pPr>
              <w:pStyle w:val="ATableText"/>
              <w:spacing w:before="0" w:after="0"/>
              <w:rPr>
                <w:rFonts w:cs="Arial"/>
                <w:b/>
              </w:rPr>
            </w:pPr>
            <w:r w:rsidRPr="00867420">
              <w:rPr>
                <w:b/>
              </w:rPr>
              <w:t>Prepared by:</w:t>
            </w:r>
          </w:p>
        </w:tc>
        <w:tc>
          <w:tcPr>
            <w:tcW w:w="1239" w:type="pct"/>
            <w:tcBorders>
              <w:left w:val="single" w:sz="4" w:space="0" w:color="00B050"/>
              <w:bottom w:val="single" w:sz="4" w:space="0" w:color="00B050"/>
              <w:right w:val="single" w:sz="4" w:space="0" w:color="00B050"/>
            </w:tcBorders>
          </w:tcPr>
          <w:p w14:paraId="55720D3A" w14:textId="055166D9" w:rsidR="00BA5C11" w:rsidRPr="00867420" w:rsidRDefault="00BA5C11" w:rsidP="00C042A2">
            <w:pPr>
              <w:cnfStyle w:val="000000100000" w:firstRow="0" w:lastRow="0" w:firstColumn="0" w:lastColumn="0" w:oddVBand="0" w:evenVBand="0" w:oddHBand="1" w:evenHBand="0" w:firstRowFirstColumn="0" w:firstRowLastColumn="0" w:lastRowFirstColumn="0" w:lastRowLastColumn="0"/>
              <w:rPr>
                <w:rFonts w:eastAsia="Times New Roman" w:cs="Arial"/>
                <w:bCs/>
                <w:i/>
                <w:szCs w:val="18"/>
              </w:rPr>
            </w:pPr>
            <w:r w:rsidRPr="00867420">
              <w:rPr>
                <w:sz w:val="22"/>
              </w:rPr>
              <w:t xml:space="preserve">Catalina Casas </w:t>
            </w:r>
            <w:proofErr w:type="spellStart"/>
            <w:r w:rsidRPr="00867420">
              <w:rPr>
                <w:sz w:val="22"/>
              </w:rPr>
              <w:t>Arévalo</w:t>
            </w:r>
            <w:proofErr w:type="spellEnd"/>
          </w:p>
        </w:tc>
        <w:tc>
          <w:tcPr>
            <w:cnfStyle w:val="000010000000" w:firstRow="0" w:lastRow="0" w:firstColumn="0" w:lastColumn="0" w:oddVBand="1" w:evenVBand="0" w:oddHBand="0" w:evenHBand="0" w:firstRowFirstColumn="0" w:firstRowLastColumn="0" w:lastRowFirstColumn="0" w:lastRowLastColumn="0"/>
            <w:tcW w:w="1381" w:type="pct"/>
            <w:tcBorders>
              <w:left w:val="single" w:sz="4" w:space="0" w:color="00B050"/>
              <w:bottom w:val="single" w:sz="4" w:space="0" w:color="00B050"/>
              <w:right w:val="single" w:sz="4" w:space="0" w:color="00B050"/>
            </w:tcBorders>
          </w:tcPr>
          <w:p w14:paraId="13725D77" w14:textId="1129A992" w:rsidR="00BA5C11" w:rsidRPr="00867420" w:rsidRDefault="00BA5C11" w:rsidP="00C042A2">
            <w:pPr>
              <w:rPr>
                <w:rFonts w:eastAsia="Times New Roman" w:cs="Arial"/>
                <w:b/>
                <w:bCs/>
                <w:szCs w:val="18"/>
              </w:rPr>
            </w:pPr>
            <w:r w:rsidRPr="00867420">
              <w:rPr>
                <w:sz w:val="22"/>
              </w:rPr>
              <w:t>Compliance Adviser</w:t>
            </w:r>
          </w:p>
        </w:tc>
        <w:tc>
          <w:tcPr>
            <w:tcW w:w="1457" w:type="pct"/>
            <w:tcBorders>
              <w:left w:val="single" w:sz="4" w:space="0" w:color="00B050"/>
              <w:bottom w:val="single" w:sz="4" w:space="0" w:color="00B050"/>
              <w:right w:val="single" w:sz="4" w:space="0" w:color="00B050"/>
            </w:tcBorders>
          </w:tcPr>
          <w:p w14:paraId="25784738" w14:textId="6D2B5737" w:rsidR="00BA5C11" w:rsidRPr="00867420" w:rsidRDefault="00BA5C11" w:rsidP="00C042A2">
            <w:pPr>
              <w:jc w:val="both"/>
              <w:cnfStyle w:val="000000100000" w:firstRow="0" w:lastRow="0" w:firstColumn="0" w:lastColumn="0" w:oddVBand="0" w:evenVBand="0" w:oddHBand="1" w:evenHBand="0" w:firstRowFirstColumn="0" w:firstRowLastColumn="0" w:lastRowFirstColumn="0" w:lastRowLastColumn="0"/>
              <w:rPr>
                <w:rFonts w:eastAsia="Times New Roman" w:cs="Arial"/>
                <w:b/>
                <w:bCs/>
                <w:szCs w:val="18"/>
              </w:rPr>
            </w:pPr>
            <w:r w:rsidRPr="00867420">
              <w:rPr>
                <w:sz w:val="22"/>
              </w:rPr>
              <w:t>Compliance Department</w:t>
            </w:r>
          </w:p>
        </w:tc>
      </w:tr>
      <w:tr w:rsidR="00BA5C11" w:rsidRPr="00867420" w14:paraId="76A5FD4B" w14:textId="77777777" w:rsidTr="00BA5C11">
        <w:trPr>
          <w:trHeight w:val="676"/>
        </w:trPr>
        <w:tc>
          <w:tcPr>
            <w:cnfStyle w:val="000010000000" w:firstRow="0" w:lastRow="0" w:firstColumn="0" w:lastColumn="0" w:oddVBand="1" w:evenVBand="0" w:oddHBand="0" w:evenHBand="0" w:firstRowFirstColumn="0" w:firstRowLastColumn="0" w:lastRowFirstColumn="0" w:lastRowLastColumn="0"/>
            <w:tcW w:w="923" w:type="pct"/>
            <w:tcBorders>
              <w:top w:val="single" w:sz="4" w:space="0" w:color="00B050"/>
              <w:left w:val="single" w:sz="4" w:space="0" w:color="00B050"/>
              <w:bottom w:val="single" w:sz="4" w:space="0" w:color="00B050"/>
              <w:right w:val="single" w:sz="4" w:space="0" w:color="00B050"/>
            </w:tcBorders>
          </w:tcPr>
          <w:p w14:paraId="46286C4B" w14:textId="77777777" w:rsidR="00BA5C11" w:rsidRPr="00867420" w:rsidRDefault="00BA5C11" w:rsidP="00C042A2">
            <w:pPr>
              <w:pStyle w:val="ATableText"/>
              <w:spacing w:before="0" w:after="0"/>
              <w:rPr>
                <w:rFonts w:cs="Arial"/>
                <w:b/>
              </w:rPr>
            </w:pPr>
            <w:r w:rsidRPr="00867420">
              <w:rPr>
                <w:b/>
              </w:rPr>
              <w:t>Reviewed by:</w:t>
            </w:r>
          </w:p>
        </w:tc>
        <w:tc>
          <w:tcPr>
            <w:tcW w:w="1239" w:type="pct"/>
            <w:tcBorders>
              <w:top w:val="single" w:sz="4" w:space="0" w:color="00B050"/>
              <w:left w:val="single" w:sz="4" w:space="0" w:color="00B050"/>
              <w:bottom w:val="single" w:sz="4" w:space="0" w:color="00B050"/>
              <w:right w:val="single" w:sz="4" w:space="0" w:color="00B050"/>
            </w:tcBorders>
          </w:tcPr>
          <w:p w14:paraId="35A3F008" w14:textId="77777777" w:rsidR="00BA5C11" w:rsidRPr="00867420" w:rsidRDefault="00BA5C11" w:rsidP="00C042A2">
            <w:pPr>
              <w:cnfStyle w:val="000000000000" w:firstRow="0" w:lastRow="0" w:firstColumn="0" w:lastColumn="0" w:oddVBand="0" w:evenVBand="0" w:oddHBand="0" w:evenHBand="0" w:firstRowFirstColumn="0" w:firstRowLastColumn="0" w:lastRowFirstColumn="0" w:lastRowLastColumn="0"/>
              <w:rPr>
                <w:rFonts w:eastAsia="Times New Roman"/>
                <w:bCs/>
                <w:sz w:val="22"/>
                <w:szCs w:val="22"/>
              </w:rPr>
            </w:pPr>
            <w:r w:rsidRPr="00867420">
              <w:rPr>
                <w:sz w:val="22"/>
              </w:rPr>
              <w:t>Luis Rodolfo Hernandez</w:t>
            </w:r>
          </w:p>
          <w:p w14:paraId="17CF5FC0" w14:textId="32BDC7BA" w:rsidR="00BA5C11" w:rsidRPr="00867420" w:rsidRDefault="00BA5C11" w:rsidP="00C042A2">
            <w:pPr>
              <w:cnfStyle w:val="000000000000" w:firstRow="0" w:lastRow="0" w:firstColumn="0" w:lastColumn="0" w:oddVBand="0" w:evenVBand="0" w:oddHBand="0" w:evenHBand="0" w:firstRowFirstColumn="0" w:firstRowLastColumn="0" w:lastRowFirstColumn="0" w:lastRowLastColumn="0"/>
              <w:rPr>
                <w:rFonts w:eastAsia="Times New Roman" w:cs="Arial"/>
                <w:bCs/>
                <w:i/>
                <w:szCs w:val="18"/>
                <w:lang w:eastAsia="es-CO"/>
              </w:rPr>
            </w:pPr>
          </w:p>
        </w:tc>
        <w:tc>
          <w:tcPr>
            <w:cnfStyle w:val="000010000000" w:firstRow="0" w:lastRow="0" w:firstColumn="0" w:lastColumn="0" w:oddVBand="1" w:evenVBand="0" w:oddHBand="0" w:evenHBand="0" w:firstRowFirstColumn="0" w:firstRowLastColumn="0" w:lastRowFirstColumn="0" w:lastRowLastColumn="0"/>
            <w:tcW w:w="1381" w:type="pct"/>
            <w:tcBorders>
              <w:top w:val="single" w:sz="4" w:space="0" w:color="00B050"/>
              <w:left w:val="single" w:sz="4" w:space="0" w:color="00B050"/>
              <w:bottom w:val="single" w:sz="4" w:space="0" w:color="00B050"/>
              <w:right w:val="single" w:sz="4" w:space="0" w:color="00B050"/>
            </w:tcBorders>
          </w:tcPr>
          <w:p w14:paraId="09990ED0" w14:textId="3764060E" w:rsidR="00BA5C11" w:rsidRPr="00867420" w:rsidRDefault="00BA5C11" w:rsidP="00C042A2">
            <w:pPr>
              <w:rPr>
                <w:rFonts w:eastAsia="Times New Roman" w:cs="Arial"/>
                <w:b/>
                <w:bCs/>
                <w:szCs w:val="18"/>
              </w:rPr>
            </w:pPr>
            <w:r w:rsidRPr="00867420">
              <w:rPr>
                <w:sz w:val="22"/>
              </w:rPr>
              <w:t>Detection and Response Manager</w:t>
            </w:r>
          </w:p>
        </w:tc>
        <w:tc>
          <w:tcPr>
            <w:tcW w:w="1457" w:type="pct"/>
            <w:tcBorders>
              <w:top w:val="single" w:sz="4" w:space="0" w:color="00B050"/>
              <w:left w:val="single" w:sz="4" w:space="0" w:color="00B050"/>
              <w:bottom w:val="single" w:sz="4" w:space="0" w:color="00B050"/>
              <w:right w:val="single" w:sz="4" w:space="0" w:color="00B050"/>
            </w:tcBorders>
          </w:tcPr>
          <w:p w14:paraId="4FD9EEAB" w14:textId="77C032EC" w:rsidR="00BA5C11" w:rsidRPr="00867420" w:rsidRDefault="00BA5C11" w:rsidP="00C042A2">
            <w:pPr>
              <w:cnfStyle w:val="000000000000" w:firstRow="0" w:lastRow="0" w:firstColumn="0" w:lastColumn="0" w:oddVBand="0" w:evenVBand="0" w:oddHBand="0" w:evenHBand="0" w:firstRowFirstColumn="0" w:firstRowLastColumn="0" w:lastRowFirstColumn="0" w:lastRowLastColumn="0"/>
              <w:rPr>
                <w:rFonts w:eastAsia="Times New Roman" w:cs="Arial"/>
                <w:b/>
                <w:bCs/>
                <w:szCs w:val="18"/>
              </w:rPr>
            </w:pPr>
            <w:r w:rsidRPr="00867420">
              <w:rPr>
                <w:sz w:val="22"/>
              </w:rPr>
              <w:t>Compliance Department</w:t>
            </w:r>
          </w:p>
        </w:tc>
      </w:tr>
      <w:tr w:rsidR="00BA5C11" w:rsidRPr="00867420" w14:paraId="77824917" w14:textId="77777777" w:rsidTr="00BA5C1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3" w:type="pct"/>
            <w:tcBorders>
              <w:top w:val="single" w:sz="4" w:space="0" w:color="00B050"/>
              <w:left w:val="single" w:sz="4" w:space="0" w:color="00B050"/>
              <w:bottom w:val="single" w:sz="4" w:space="0" w:color="00B050"/>
              <w:right w:val="single" w:sz="4" w:space="0" w:color="00B050"/>
            </w:tcBorders>
          </w:tcPr>
          <w:p w14:paraId="58F32B05" w14:textId="77777777" w:rsidR="00BA5C11" w:rsidRPr="00867420" w:rsidRDefault="00BA5C11" w:rsidP="00C042A2">
            <w:pPr>
              <w:pStyle w:val="ATableText"/>
              <w:spacing w:before="0" w:after="0"/>
              <w:rPr>
                <w:rFonts w:cs="Arial"/>
                <w:b/>
              </w:rPr>
            </w:pPr>
            <w:r w:rsidRPr="00867420">
              <w:rPr>
                <w:b/>
              </w:rPr>
              <w:t>Approved by:</w:t>
            </w:r>
          </w:p>
        </w:tc>
        <w:tc>
          <w:tcPr>
            <w:tcW w:w="1239" w:type="pct"/>
            <w:tcBorders>
              <w:top w:val="single" w:sz="4" w:space="0" w:color="00B050"/>
              <w:left w:val="single" w:sz="4" w:space="0" w:color="00B050"/>
              <w:bottom w:val="single" w:sz="4" w:space="0" w:color="00B050"/>
              <w:right w:val="single" w:sz="4" w:space="0" w:color="00B050"/>
            </w:tcBorders>
          </w:tcPr>
          <w:p w14:paraId="03C63390" w14:textId="2EECFAC0" w:rsidR="00BA5C11" w:rsidRPr="00867420" w:rsidRDefault="00BA5C11" w:rsidP="00C042A2">
            <w:pPr>
              <w:cnfStyle w:val="000000100000" w:firstRow="0" w:lastRow="0" w:firstColumn="0" w:lastColumn="0" w:oddVBand="0" w:evenVBand="0" w:oddHBand="1" w:evenHBand="0" w:firstRowFirstColumn="0" w:firstRowLastColumn="0" w:lastRowFirstColumn="0" w:lastRowLastColumn="0"/>
              <w:rPr>
                <w:rFonts w:eastAsia="Times New Roman"/>
                <w:bCs/>
                <w:sz w:val="22"/>
                <w:szCs w:val="22"/>
              </w:rPr>
            </w:pPr>
            <w:r w:rsidRPr="00867420">
              <w:rPr>
                <w:sz w:val="22"/>
              </w:rPr>
              <w:t>Luz Elena Díaz</w:t>
            </w:r>
          </w:p>
        </w:tc>
        <w:tc>
          <w:tcPr>
            <w:cnfStyle w:val="000010000000" w:firstRow="0" w:lastRow="0" w:firstColumn="0" w:lastColumn="0" w:oddVBand="1" w:evenVBand="0" w:oddHBand="0" w:evenHBand="0" w:firstRowFirstColumn="0" w:firstRowLastColumn="0" w:lastRowFirstColumn="0" w:lastRowLastColumn="0"/>
            <w:tcW w:w="1381" w:type="pct"/>
            <w:tcBorders>
              <w:top w:val="single" w:sz="4" w:space="0" w:color="00B050"/>
              <w:left w:val="single" w:sz="4" w:space="0" w:color="00B050"/>
              <w:bottom w:val="single" w:sz="4" w:space="0" w:color="00B050"/>
              <w:right w:val="single" w:sz="4" w:space="0" w:color="00B050"/>
            </w:tcBorders>
          </w:tcPr>
          <w:p w14:paraId="489773EF" w14:textId="60DDF7BD" w:rsidR="00BA5C11" w:rsidRPr="00867420" w:rsidRDefault="00BA5C11" w:rsidP="00C042A2">
            <w:pPr>
              <w:rPr>
                <w:rFonts w:eastAsia="Times New Roman" w:cs="Arial"/>
                <w:b/>
                <w:bCs/>
                <w:szCs w:val="18"/>
              </w:rPr>
            </w:pPr>
            <w:r w:rsidRPr="00867420">
              <w:rPr>
                <w:sz w:val="22"/>
              </w:rPr>
              <w:t>Compliance Officer</w:t>
            </w:r>
          </w:p>
          <w:p w14:paraId="65B4DF7F" w14:textId="473CB70B" w:rsidR="00BA5C11" w:rsidRPr="00867420" w:rsidRDefault="00BA5C11" w:rsidP="00C042A2">
            <w:pPr>
              <w:rPr>
                <w:rFonts w:eastAsia="Times New Roman" w:cs="Arial"/>
                <w:b/>
                <w:bCs/>
                <w:szCs w:val="18"/>
                <w:lang w:eastAsia="es-CO"/>
              </w:rPr>
            </w:pPr>
          </w:p>
        </w:tc>
        <w:tc>
          <w:tcPr>
            <w:tcW w:w="1457" w:type="pct"/>
            <w:tcBorders>
              <w:top w:val="single" w:sz="4" w:space="0" w:color="00B050"/>
              <w:left w:val="single" w:sz="4" w:space="0" w:color="00B050"/>
              <w:bottom w:val="single" w:sz="4" w:space="0" w:color="00B050"/>
              <w:right w:val="single" w:sz="4" w:space="0" w:color="00B050"/>
            </w:tcBorders>
          </w:tcPr>
          <w:p w14:paraId="53DAE792" w14:textId="4530ECCD" w:rsidR="00BA5C11" w:rsidRPr="00867420" w:rsidRDefault="00BA5C11" w:rsidP="00C042A2">
            <w:pPr>
              <w:cnfStyle w:val="000000100000" w:firstRow="0" w:lastRow="0" w:firstColumn="0" w:lastColumn="0" w:oddVBand="0" w:evenVBand="0" w:oddHBand="1" w:evenHBand="0" w:firstRowFirstColumn="0" w:firstRowLastColumn="0" w:lastRowFirstColumn="0" w:lastRowLastColumn="0"/>
              <w:rPr>
                <w:rFonts w:eastAsia="Times New Roman" w:cs="Arial"/>
                <w:b/>
                <w:bCs/>
                <w:szCs w:val="18"/>
              </w:rPr>
            </w:pPr>
            <w:r w:rsidRPr="00867420">
              <w:rPr>
                <w:sz w:val="22"/>
              </w:rPr>
              <w:t>Compliance Department</w:t>
            </w:r>
          </w:p>
          <w:p w14:paraId="66EEF037" w14:textId="7747E45C" w:rsidR="00BA5C11" w:rsidRPr="00867420" w:rsidRDefault="00BA5C11" w:rsidP="00C042A2">
            <w:pPr>
              <w:cnfStyle w:val="000000100000" w:firstRow="0" w:lastRow="0" w:firstColumn="0" w:lastColumn="0" w:oddVBand="0" w:evenVBand="0" w:oddHBand="1" w:evenHBand="0" w:firstRowFirstColumn="0" w:firstRowLastColumn="0" w:lastRowFirstColumn="0" w:lastRowLastColumn="0"/>
              <w:rPr>
                <w:rFonts w:eastAsia="Times New Roman" w:cs="Arial"/>
                <w:b/>
                <w:bCs/>
                <w:szCs w:val="18"/>
                <w:lang w:eastAsia="es-CO"/>
              </w:rPr>
            </w:pPr>
          </w:p>
        </w:tc>
      </w:tr>
    </w:tbl>
    <w:p w14:paraId="46FF62A6" w14:textId="7CE0E3AD" w:rsidR="008B0202" w:rsidRPr="00867420" w:rsidRDefault="008B0202" w:rsidP="00C042A2">
      <w:pPr>
        <w:spacing w:after="0" w:line="240" w:lineRule="auto"/>
        <w:jc w:val="both"/>
        <w:rPr>
          <w:color w:val="000000" w:themeColor="text1"/>
          <w:szCs w:val="24"/>
        </w:rPr>
      </w:pPr>
    </w:p>
    <w:p w14:paraId="5A8B62A0" w14:textId="77777777" w:rsidR="00BD791A" w:rsidRPr="00867420" w:rsidRDefault="00BD791A" w:rsidP="00C042A2">
      <w:pPr>
        <w:spacing w:after="0" w:line="240" w:lineRule="auto"/>
        <w:jc w:val="both"/>
        <w:rPr>
          <w:color w:val="000000" w:themeColor="text1"/>
          <w:szCs w:val="24"/>
        </w:rPr>
      </w:pPr>
    </w:p>
    <w:p w14:paraId="229CA8D8" w14:textId="77777777" w:rsidR="003274D2" w:rsidRPr="00867420" w:rsidRDefault="003274D2" w:rsidP="00C042A2">
      <w:pPr>
        <w:spacing w:after="0" w:line="240" w:lineRule="auto"/>
        <w:rPr>
          <w:rFonts w:eastAsia="Times New Roman" w:cs="Arial"/>
          <w:b/>
          <w:bCs/>
          <w:color w:val="FFFFFF"/>
          <w:szCs w:val="18"/>
          <w:lang w:eastAsia="es-CO"/>
        </w:rPr>
      </w:pPr>
    </w:p>
    <w:p w14:paraId="6F06251B" w14:textId="77777777" w:rsidR="00D42983" w:rsidRPr="00867420" w:rsidRDefault="00D42983" w:rsidP="00C042A2">
      <w:pPr>
        <w:spacing w:after="0" w:line="240" w:lineRule="auto"/>
        <w:jc w:val="center"/>
      </w:pPr>
    </w:p>
    <w:sectPr w:rsidR="00D42983" w:rsidRPr="00867420" w:rsidSect="00FF74D0">
      <w:headerReference w:type="even" r:id="rId10"/>
      <w:headerReference w:type="default" r:id="rId11"/>
      <w:footerReference w:type="default" r:id="rId12"/>
      <w:head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37B5" w14:textId="77777777" w:rsidR="00DC4035" w:rsidRDefault="00DC4035" w:rsidP="00D73851">
      <w:pPr>
        <w:spacing w:after="0" w:line="240" w:lineRule="auto"/>
      </w:pPr>
      <w:r>
        <w:separator/>
      </w:r>
    </w:p>
  </w:endnote>
  <w:endnote w:type="continuationSeparator" w:id="0">
    <w:p w14:paraId="5CEB1788" w14:textId="77777777" w:rsidR="00DC4035" w:rsidRDefault="00DC4035" w:rsidP="00D7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E99D" w14:textId="3EE61011" w:rsidR="004207B4" w:rsidRDefault="004207B4" w:rsidP="00A94C2F">
    <w:pPr>
      <w:pStyle w:val="Footer"/>
      <w:jc w:val="right"/>
    </w:pPr>
    <w:r>
      <w:t>Version: 1</w:t>
    </w:r>
    <w:r>
      <w:ptab w:relativeTo="margin" w:alignment="center" w:leader="none"/>
    </w:r>
    <w:r>
      <w:t xml:space="preserve">Date: </w:t>
    </w:r>
    <w:r>
      <w:ptab w:relativeTo="margin" w:alignment="right" w:leader="none"/>
    </w:r>
    <w:r>
      <w:t xml:space="preserve"> </w:t>
    </w:r>
    <w:sdt>
      <w:sdtPr>
        <w:id w:val="-1769616900"/>
        <w:docPartObj>
          <w:docPartGallery w:val="Page Numbers (Top of Page)"/>
          <w:docPartUnique/>
        </w:docPartObj>
      </w:sdtPr>
      <w:sdtEndPr/>
      <w:sdtContent>
        <w:r>
          <w:t xml:space="preserve">Page </w:t>
        </w:r>
        <w:r w:rsidR="00A94C2F">
          <w:rPr>
            <w:b/>
            <w:sz w:val="24"/>
          </w:rPr>
          <w:fldChar w:fldCharType="begin"/>
        </w:r>
        <w:r w:rsidR="00A94C2F">
          <w:rPr>
            <w:b/>
          </w:rPr>
          <w:instrText>PAGE</w:instrText>
        </w:r>
        <w:r w:rsidR="00A94C2F">
          <w:rPr>
            <w:b/>
            <w:sz w:val="24"/>
          </w:rPr>
          <w:fldChar w:fldCharType="separate"/>
        </w:r>
        <w:r w:rsidR="00867420">
          <w:rPr>
            <w:b/>
            <w:noProof/>
          </w:rPr>
          <w:t>7</w:t>
        </w:r>
        <w:r w:rsidR="00A94C2F">
          <w:rPr>
            <w:b/>
            <w:sz w:val="24"/>
          </w:rPr>
          <w:fldChar w:fldCharType="end"/>
        </w:r>
        <w:r>
          <w:t xml:space="preserve"> of </w:t>
        </w:r>
        <w:r w:rsidR="00A94C2F">
          <w:rPr>
            <w:b/>
            <w:sz w:val="24"/>
          </w:rPr>
          <w:fldChar w:fldCharType="begin"/>
        </w:r>
        <w:r w:rsidR="00A94C2F">
          <w:rPr>
            <w:b/>
          </w:rPr>
          <w:instrText>NUMPAGES</w:instrText>
        </w:r>
        <w:r w:rsidR="00A94C2F">
          <w:rPr>
            <w:b/>
            <w:sz w:val="24"/>
          </w:rPr>
          <w:fldChar w:fldCharType="separate"/>
        </w:r>
        <w:r w:rsidR="00867420">
          <w:rPr>
            <w:b/>
            <w:noProof/>
          </w:rPr>
          <w:t>8</w:t>
        </w:r>
        <w:r w:rsidR="00A94C2F">
          <w:rPr>
            <w:b/>
            <w:sz w:val="24"/>
          </w:rPr>
          <w:fldChar w:fldCharType="end"/>
        </w:r>
      </w:sdtContent>
    </w:sdt>
  </w:p>
  <w:p w14:paraId="472BABFF" w14:textId="00CA1442" w:rsidR="00D73851" w:rsidRPr="004207B4" w:rsidRDefault="00D73851" w:rsidP="00420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F3C4" w14:textId="77777777" w:rsidR="00DC4035" w:rsidRDefault="00DC4035" w:rsidP="00D73851">
      <w:pPr>
        <w:spacing w:after="0" w:line="240" w:lineRule="auto"/>
      </w:pPr>
      <w:r>
        <w:separator/>
      </w:r>
    </w:p>
  </w:footnote>
  <w:footnote w:type="continuationSeparator" w:id="0">
    <w:p w14:paraId="54E2EC1E" w14:textId="77777777" w:rsidR="00DC4035" w:rsidRDefault="00DC4035" w:rsidP="00D73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3B02" w14:textId="3DA84E03" w:rsidR="004207B4" w:rsidRDefault="009A185E">
    <w:pPr>
      <w:pStyle w:val="Header"/>
    </w:pPr>
    <w:r>
      <w:pict w14:anchorId="1076E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23829" o:spid="_x0000_s2050" type="#_x0000_t136" style="position:absolute;margin-left:0;margin-top:0;width:524.6pt;height:98.35pt;rotation:315;z-index:-251652096;mso-position-horizontal:center;mso-position-horizontal-relative:margin;mso-position-vertical:center;mso-position-vertical-relative:margin" o:allowincell="f" fillcolor="#a5a5a5 [2092]" stroked="f">
          <v:fill opacity=".5"/>
          <v:textpath style="font-family:&quot;Calibri&quot;;font-size:1pt" string="UNCONTROLLED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79" w:type="pct"/>
      <w:tblLook w:val="04A0" w:firstRow="1" w:lastRow="0" w:firstColumn="1" w:lastColumn="0" w:noHBand="0" w:noVBand="1"/>
    </w:tblPr>
    <w:tblGrid>
      <w:gridCol w:w="3083"/>
      <w:gridCol w:w="5571"/>
    </w:tblGrid>
    <w:tr w:rsidR="004207B4" w:rsidRPr="0000517D" w14:paraId="3C5E5D3A" w14:textId="77777777" w:rsidTr="00041A69">
      <w:trPr>
        <w:trHeight w:val="230"/>
      </w:trPr>
      <w:tc>
        <w:tcPr>
          <w:tcW w:w="1781" w:type="pct"/>
          <w:vMerge w:val="restart"/>
        </w:tcPr>
        <w:p w14:paraId="0D5F0E28" w14:textId="43C2AF9C" w:rsidR="004207B4" w:rsidRPr="0000517D" w:rsidRDefault="00041A69" w:rsidP="00982E6E">
          <w:pPr>
            <w:tabs>
              <w:tab w:val="center" w:pos="4419"/>
              <w:tab w:val="right" w:pos="8838"/>
            </w:tabs>
            <w:spacing w:after="0" w:line="240" w:lineRule="auto"/>
            <w:jc w:val="center"/>
          </w:pPr>
          <w:r>
            <w:rPr>
              <w:noProof/>
            </w:rPr>
            <w:drawing>
              <wp:inline distT="0" distB="0" distL="0" distR="0" wp14:anchorId="1ED7D934" wp14:editId="0C490343">
                <wp:extent cx="1525467" cy="746870"/>
                <wp:effectExtent l="0" t="0" r="0" b="0"/>
                <wp:docPr id="4" name="Imagen 6"/>
                <wp:cNvGraphicFramePr/>
                <a:graphic xmlns:a="http://schemas.openxmlformats.org/drawingml/2006/main">
                  <a:graphicData uri="http://schemas.openxmlformats.org/drawingml/2006/picture">
                    <pic:pic xmlns:pic="http://schemas.openxmlformats.org/drawingml/2006/picture">
                      <pic:nvPicPr>
                        <pic:cNvPr id="3" name="Imagen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324" cy="754144"/>
                        </a:xfrm>
                        <a:prstGeom prst="rect">
                          <a:avLst/>
                        </a:prstGeom>
                        <a:noFill/>
                        <a:ln>
                          <a:noFill/>
                        </a:ln>
                      </pic:spPr>
                    </pic:pic>
                  </a:graphicData>
                </a:graphic>
              </wp:inline>
            </w:drawing>
          </w:r>
          <w:r w:rsidR="009A185E">
            <w:pict w14:anchorId="63C0B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23830" o:spid="_x0000_s2051" type="#_x0000_t136" style="position:absolute;left:0;text-align:left;margin-left:0;margin-top:0;width:524.6pt;height:98.35pt;rotation:315;z-index:-251650048;mso-position-horizontal:center;mso-position-horizontal-relative:margin;mso-position-vertical:center;mso-position-vertical-relative:margin" o:allowincell="f" fillcolor="#a5a5a5 [2092]" stroked="f">
                <v:fill opacity=".5"/>
                <v:textpath style="font-family:&quot;Calibri&quot;;font-size:1pt" string="UNCONTROLLED COPY"/>
                <w10:wrap anchorx="margin" anchory="margin"/>
              </v:shape>
            </w:pict>
          </w:r>
        </w:p>
      </w:tc>
      <w:tc>
        <w:tcPr>
          <w:tcW w:w="3219" w:type="pct"/>
          <w:vMerge w:val="restart"/>
        </w:tcPr>
        <w:p w14:paraId="1E93AA3E" w14:textId="77777777" w:rsidR="00041A69" w:rsidRDefault="00041A69" w:rsidP="004207B4">
          <w:pPr>
            <w:pStyle w:val="Header"/>
            <w:jc w:val="right"/>
            <w:rPr>
              <w:rFonts w:cs="Arial"/>
              <w:b/>
              <w:bCs/>
              <w:color w:val="0070C0"/>
              <w:sz w:val="28"/>
              <w:szCs w:val="32"/>
            </w:rPr>
          </w:pPr>
        </w:p>
        <w:p w14:paraId="1C718921" w14:textId="680EE5D2" w:rsidR="004207B4" w:rsidRPr="00C422CE" w:rsidRDefault="00041A69" w:rsidP="004207B4">
          <w:pPr>
            <w:pStyle w:val="Header"/>
            <w:jc w:val="right"/>
            <w:rPr>
              <w:rFonts w:cs="Arial"/>
              <w:b/>
              <w:bCs/>
              <w:color w:val="0070C0"/>
              <w:sz w:val="28"/>
              <w:szCs w:val="32"/>
            </w:rPr>
          </w:pPr>
          <w:r>
            <w:rPr>
              <w:b/>
              <w:color w:val="0070C0"/>
              <w:sz w:val="28"/>
            </w:rPr>
            <w:t>CUM-MAN-001-G-001</w:t>
          </w:r>
        </w:p>
        <w:p w14:paraId="12AECCF5" w14:textId="37F8DCA2" w:rsidR="004207B4" w:rsidRPr="00AE1B76" w:rsidRDefault="004207B4" w:rsidP="004207B4">
          <w:pPr>
            <w:pStyle w:val="Header"/>
            <w:tabs>
              <w:tab w:val="clear" w:pos="4419"/>
              <w:tab w:val="clear" w:pos="8838"/>
              <w:tab w:val="left" w:pos="2023"/>
            </w:tabs>
            <w:jc w:val="right"/>
            <w:rPr>
              <w:rFonts w:eastAsia="Calibri" w:cs="Arial"/>
              <w:b/>
              <w:bCs/>
              <w:sz w:val="24"/>
              <w:szCs w:val="24"/>
            </w:rPr>
          </w:pPr>
          <w:r>
            <w:rPr>
              <w:b/>
              <w:color w:val="0070C0"/>
              <w:sz w:val="28"/>
            </w:rPr>
            <w:t>GUIDE FOR THE PLACEMENT OF SECURITIES IN THE PRIMARY MARKET</w:t>
          </w:r>
        </w:p>
      </w:tc>
    </w:tr>
    <w:tr w:rsidR="004207B4" w:rsidRPr="0000517D" w14:paraId="3DC9BAA3" w14:textId="77777777" w:rsidTr="00041A69">
      <w:trPr>
        <w:trHeight w:val="230"/>
      </w:trPr>
      <w:tc>
        <w:tcPr>
          <w:tcW w:w="1781" w:type="pct"/>
          <w:vMerge/>
        </w:tcPr>
        <w:p w14:paraId="0B2B6106" w14:textId="77777777" w:rsidR="004207B4" w:rsidRPr="00867420" w:rsidRDefault="004207B4" w:rsidP="00982E6E">
          <w:pPr>
            <w:tabs>
              <w:tab w:val="center" w:pos="4419"/>
              <w:tab w:val="right" w:pos="8838"/>
            </w:tabs>
            <w:spacing w:after="0" w:line="240" w:lineRule="auto"/>
          </w:pPr>
        </w:p>
      </w:tc>
      <w:tc>
        <w:tcPr>
          <w:tcW w:w="3219" w:type="pct"/>
          <w:vMerge/>
        </w:tcPr>
        <w:p w14:paraId="1A35ECB0" w14:textId="77777777" w:rsidR="004207B4" w:rsidRPr="00867420" w:rsidRDefault="004207B4" w:rsidP="004207B4">
          <w:pPr>
            <w:tabs>
              <w:tab w:val="center" w:pos="4419"/>
              <w:tab w:val="right" w:pos="8838"/>
            </w:tabs>
            <w:spacing w:after="0" w:line="240" w:lineRule="auto"/>
            <w:jc w:val="right"/>
            <w:rPr>
              <w:b/>
              <w:bCs/>
            </w:rPr>
          </w:pPr>
        </w:p>
      </w:tc>
    </w:tr>
    <w:tr w:rsidR="004207B4" w:rsidRPr="0000517D" w14:paraId="389D0BEF" w14:textId="77777777" w:rsidTr="00041A69">
      <w:trPr>
        <w:trHeight w:val="230"/>
      </w:trPr>
      <w:tc>
        <w:tcPr>
          <w:tcW w:w="1781" w:type="pct"/>
          <w:vMerge/>
        </w:tcPr>
        <w:p w14:paraId="7F09C87E" w14:textId="77777777" w:rsidR="004207B4" w:rsidRPr="00867420" w:rsidRDefault="004207B4" w:rsidP="00982E6E">
          <w:pPr>
            <w:tabs>
              <w:tab w:val="center" w:pos="4419"/>
              <w:tab w:val="right" w:pos="8838"/>
            </w:tabs>
            <w:spacing w:after="0" w:line="240" w:lineRule="auto"/>
          </w:pPr>
        </w:p>
      </w:tc>
      <w:tc>
        <w:tcPr>
          <w:tcW w:w="3219" w:type="pct"/>
          <w:vMerge/>
        </w:tcPr>
        <w:p w14:paraId="355D7C57" w14:textId="77777777" w:rsidR="004207B4" w:rsidRPr="00867420" w:rsidRDefault="004207B4" w:rsidP="004207B4">
          <w:pPr>
            <w:tabs>
              <w:tab w:val="center" w:pos="4419"/>
              <w:tab w:val="right" w:pos="8838"/>
            </w:tabs>
            <w:spacing w:after="0" w:line="240" w:lineRule="auto"/>
            <w:jc w:val="right"/>
            <w:rPr>
              <w:b/>
              <w:bCs/>
            </w:rPr>
          </w:pPr>
        </w:p>
      </w:tc>
    </w:tr>
    <w:tr w:rsidR="004207B4" w:rsidRPr="0000517D" w14:paraId="145D1F52" w14:textId="77777777" w:rsidTr="00041A69">
      <w:trPr>
        <w:trHeight w:val="366"/>
      </w:trPr>
      <w:tc>
        <w:tcPr>
          <w:tcW w:w="1781" w:type="pct"/>
          <w:vMerge/>
        </w:tcPr>
        <w:p w14:paraId="4D944E05" w14:textId="77777777" w:rsidR="004207B4" w:rsidRPr="00867420" w:rsidRDefault="004207B4" w:rsidP="00982E6E">
          <w:pPr>
            <w:tabs>
              <w:tab w:val="center" w:pos="4419"/>
              <w:tab w:val="right" w:pos="8838"/>
            </w:tabs>
            <w:spacing w:after="0" w:line="240" w:lineRule="auto"/>
          </w:pPr>
        </w:p>
      </w:tc>
      <w:tc>
        <w:tcPr>
          <w:tcW w:w="3219" w:type="pct"/>
          <w:vMerge/>
        </w:tcPr>
        <w:p w14:paraId="4D81E5D7" w14:textId="77777777" w:rsidR="004207B4" w:rsidRPr="00867420" w:rsidRDefault="004207B4" w:rsidP="00982E6E">
          <w:pPr>
            <w:tabs>
              <w:tab w:val="center" w:pos="4419"/>
              <w:tab w:val="right" w:pos="8838"/>
            </w:tabs>
            <w:spacing w:after="0" w:line="240" w:lineRule="auto"/>
            <w:rPr>
              <w:b/>
              <w:bCs/>
            </w:rPr>
          </w:pPr>
        </w:p>
      </w:tc>
    </w:tr>
  </w:tbl>
  <w:p w14:paraId="673A7718" w14:textId="77777777" w:rsidR="00041A69" w:rsidRDefault="00041A69" w:rsidP="00041A69">
    <w:pPr>
      <w:pStyle w:val="Header"/>
      <w:tabs>
        <w:tab w:val="clear" w:pos="4419"/>
        <w:tab w:val="clear" w:pos="8838"/>
        <w:tab w:val="left" w:pos="5885"/>
      </w:tabs>
      <w:rPr>
        <w:noProof/>
      </w:rPr>
    </w:pPr>
    <w:r>
      <w:tab/>
    </w:r>
  </w:p>
  <w:p w14:paraId="7D4B8C51" w14:textId="255496F0" w:rsidR="00D73851" w:rsidRDefault="00597C4B" w:rsidP="00041A69">
    <w:pPr>
      <w:pStyle w:val="Header"/>
      <w:tabs>
        <w:tab w:val="clear" w:pos="4419"/>
        <w:tab w:val="clear" w:pos="8838"/>
        <w:tab w:val="left" w:pos="5885"/>
      </w:tabs>
    </w:pPr>
    <w:r>
      <w:rPr>
        <w:noProof/>
      </w:rPr>
      <mc:AlternateContent>
        <mc:Choice Requires="wps">
          <w:drawing>
            <wp:anchor distT="0" distB="0" distL="114300" distR="114300" simplePos="0" relativeHeight="251695104" behindDoc="0" locked="0" layoutInCell="1" allowOverlap="1" wp14:anchorId="3CAE6095" wp14:editId="688FC5C3">
              <wp:simplePos x="0" y="0"/>
              <wp:positionH relativeFrom="column">
                <wp:posOffset>-400627</wp:posOffset>
              </wp:positionH>
              <wp:positionV relativeFrom="paragraph">
                <wp:posOffset>82072</wp:posOffset>
              </wp:positionV>
              <wp:extent cx="6467452" cy="0"/>
              <wp:effectExtent l="0" t="0" r="10160" b="19050"/>
              <wp:wrapNone/>
              <wp:docPr id="1" name="1 Conector recto"/>
              <wp:cNvGraphicFramePr/>
              <a:graphic xmlns:a="http://schemas.openxmlformats.org/drawingml/2006/main">
                <a:graphicData uri="http://schemas.microsoft.com/office/word/2010/wordprocessingShape">
                  <wps:wsp>
                    <wps:cNvCnPr/>
                    <wps:spPr>
                      <a:xfrm>
                        <a:off x="0" y="0"/>
                        <a:ext cx="6467452"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72976" id="1 Conector recto"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5pt,6.45pt" to="477.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" strokecolor="#00b05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0B8F" w14:textId="29B83755" w:rsidR="004207B4" w:rsidRDefault="009A185E">
    <w:pPr>
      <w:pStyle w:val="Header"/>
    </w:pPr>
    <w:r>
      <w:pict w14:anchorId="34C94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4923828" o:spid="_x0000_s2049" type="#_x0000_t136" style="position:absolute;margin-left:0;margin-top:0;width:524.6pt;height:98.35pt;rotation:315;z-index:-251654144;mso-position-horizontal:center;mso-position-horizontal-relative:margin;mso-position-vertical:center;mso-position-vertical-relative:margin" o:allowincell="f" fillcolor="#a5a5a5 [2092]" stroked="f">
          <v:fill opacity=".5"/>
          <v:textpath style="font-family:&quot;Calibri&quot;;font-size:1pt" string="UNCONTROLLED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5317"/>
    <w:multiLevelType w:val="hybridMultilevel"/>
    <w:tmpl w:val="9E3E25E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7F5015"/>
    <w:multiLevelType w:val="multilevel"/>
    <w:tmpl w:val="FC1C8A8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62" w:hanging="862"/>
      </w:pPr>
      <w:rPr>
        <w:rFonts w:hint="default"/>
        <w:strike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F140646"/>
    <w:multiLevelType w:val="hybridMultilevel"/>
    <w:tmpl w:val="97D2ED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382726B"/>
    <w:multiLevelType w:val="hybridMultilevel"/>
    <w:tmpl w:val="6F6A993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4145A1"/>
    <w:multiLevelType w:val="hybridMultilevel"/>
    <w:tmpl w:val="F6723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3CE1D25"/>
    <w:multiLevelType w:val="hybridMultilevel"/>
    <w:tmpl w:val="A8C4DA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7B7A4F20"/>
    <w:multiLevelType w:val="multilevel"/>
    <w:tmpl w:val="688A0186"/>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decimal"/>
      <w:pStyle w:val="Estilo2"/>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903419530">
    <w:abstractNumId w:val="5"/>
  </w:num>
  <w:num w:numId="2" w16cid:durableId="870067291">
    <w:abstractNumId w:val="1"/>
  </w:num>
  <w:num w:numId="3" w16cid:durableId="283578276">
    <w:abstractNumId w:val="0"/>
  </w:num>
  <w:num w:numId="4" w16cid:durableId="991762365">
    <w:abstractNumId w:val="3"/>
  </w:num>
  <w:num w:numId="5" w16cid:durableId="890262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076638">
    <w:abstractNumId w:val="6"/>
  </w:num>
  <w:num w:numId="7" w16cid:durableId="268860016">
    <w:abstractNumId w:val="4"/>
  </w:num>
  <w:num w:numId="8" w16cid:durableId="539434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851"/>
    <w:rsid w:val="00033166"/>
    <w:rsid w:val="00041A69"/>
    <w:rsid w:val="00045B7E"/>
    <w:rsid w:val="00057AC0"/>
    <w:rsid w:val="000604E6"/>
    <w:rsid w:val="0007350E"/>
    <w:rsid w:val="00081EF9"/>
    <w:rsid w:val="00090192"/>
    <w:rsid w:val="000C1549"/>
    <w:rsid w:val="000F587A"/>
    <w:rsid w:val="000F7AB7"/>
    <w:rsid w:val="00102C5A"/>
    <w:rsid w:val="00161488"/>
    <w:rsid w:val="001966E4"/>
    <w:rsid w:val="00200C74"/>
    <w:rsid w:val="00204CC3"/>
    <w:rsid w:val="00220935"/>
    <w:rsid w:val="002548F3"/>
    <w:rsid w:val="002E6921"/>
    <w:rsid w:val="003274D2"/>
    <w:rsid w:val="0036766A"/>
    <w:rsid w:val="004207B4"/>
    <w:rsid w:val="004211B1"/>
    <w:rsid w:val="00474F31"/>
    <w:rsid w:val="004A0E45"/>
    <w:rsid w:val="004A142C"/>
    <w:rsid w:val="004A74B1"/>
    <w:rsid w:val="004D6C52"/>
    <w:rsid w:val="004E405E"/>
    <w:rsid w:val="004F6CCB"/>
    <w:rsid w:val="00501B78"/>
    <w:rsid w:val="00591E7A"/>
    <w:rsid w:val="00597C4B"/>
    <w:rsid w:val="005C53EA"/>
    <w:rsid w:val="005F0983"/>
    <w:rsid w:val="00616D20"/>
    <w:rsid w:val="00624AD3"/>
    <w:rsid w:val="00654EC2"/>
    <w:rsid w:val="00674C6B"/>
    <w:rsid w:val="006A2C04"/>
    <w:rsid w:val="006B084F"/>
    <w:rsid w:val="006C5B9E"/>
    <w:rsid w:val="006E10C4"/>
    <w:rsid w:val="006F1A45"/>
    <w:rsid w:val="0074085C"/>
    <w:rsid w:val="00774B3C"/>
    <w:rsid w:val="007841C3"/>
    <w:rsid w:val="007E2BB0"/>
    <w:rsid w:val="00867420"/>
    <w:rsid w:val="008A32CF"/>
    <w:rsid w:val="008B0202"/>
    <w:rsid w:val="008F42A6"/>
    <w:rsid w:val="00971B30"/>
    <w:rsid w:val="009A0744"/>
    <w:rsid w:val="009A185E"/>
    <w:rsid w:val="00A023ED"/>
    <w:rsid w:val="00A3536D"/>
    <w:rsid w:val="00A53219"/>
    <w:rsid w:val="00A54A85"/>
    <w:rsid w:val="00A94C2F"/>
    <w:rsid w:val="00AA4CFB"/>
    <w:rsid w:val="00AB5921"/>
    <w:rsid w:val="00AF3DDD"/>
    <w:rsid w:val="00B200B5"/>
    <w:rsid w:val="00B21F06"/>
    <w:rsid w:val="00BA5C11"/>
    <w:rsid w:val="00BD791A"/>
    <w:rsid w:val="00BE435D"/>
    <w:rsid w:val="00C042A2"/>
    <w:rsid w:val="00C335F8"/>
    <w:rsid w:val="00C409C4"/>
    <w:rsid w:val="00C4203D"/>
    <w:rsid w:val="00C422CE"/>
    <w:rsid w:val="00C50E41"/>
    <w:rsid w:val="00C66446"/>
    <w:rsid w:val="00C9237B"/>
    <w:rsid w:val="00CA5678"/>
    <w:rsid w:val="00CB52E4"/>
    <w:rsid w:val="00CC69E1"/>
    <w:rsid w:val="00D05634"/>
    <w:rsid w:val="00D10377"/>
    <w:rsid w:val="00D42983"/>
    <w:rsid w:val="00D55B76"/>
    <w:rsid w:val="00D65C4E"/>
    <w:rsid w:val="00D73851"/>
    <w:rsid w:val="00D75BF0"/>
    <w:rsid w:val="00D9201D"/>
    <w:rsid w:val="00DA1FEB"/>
    <w:rsid w:val="00DA4F00"/>
    <w:rsid w:val="00DC4035"/>
    <w:rsid w:val="00DD1872"/>
    <w:rsid w:val="00DE4C21"/>
    <w:rsid w:val="00DE6ABB"/>
    <w:rsid w:val="00DF2B1E"/>
    <w:rsid w:val="00E1387D"/>
    <w:rsid w:val="00E85F80"/>
    <w:rsid w:val="00EE3562"/>
    <w:rsid w:val="00F06EFA"/>
    <w:rsid w:val="00F15A0D"/>
    <w:rsid w:val="00F326DB"/>
    <w:rsid w:val="00F46CE8"/>
    <w:rsid w:val="00F944B9"/>
    <w:rsid w:val="00FF74D0"/>
    <w:rsid w:val="38D72EE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BE5352"/>
  <w15:docId w15:val="{F98088AF-D61A-4B36-9E6F-BF7C31A7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91A"/>
    <w:rPr>
      <w:rFonts w:ascii="Arial" w:hAnsi="Arial"/>
      <w:sz w:val="20"/>
    </w:rPr>
  </w:style>
  <w:style w:type="paragraph" w:styleId="Heading1">
    <w:name w:val="heading 1"/>
    <w:basedOn w:val="Normal"/>
    <w:next w:val="Normal"/>
    <w:link w:val="Heading1Char"/>
    <w:qFormat/>
    <w:rsid w:val="000F7AB7"/>
    <w:pPr>
      <w:keepNext/>
      <w:keepLines/>
      <w:numPr>
        <w:numId w:val="6"/>
      </w:numPr>
      <w:spacing w:after="0" w:line="240" w:lineRule="auto"/>
      <w:outlineLvl w:val="0"/>
    </w:pPr>
    <w:rPr>
      <w:rFonts w:eastAsia="Arial" w:cs="Arial"/>
      <w:b/>
      <w:bCs/>
      <w:sz w:val="22"/>
    </w:rPr>
  </w:style>
  <w:style w:type="paragraph" w:styleId="Heading2">
    <w:name w:val="heading 2"/>
    <w:basedOn w:val="Normal"/>
    <w:next w:val="BodyText"/>
    <w:link w:val="Heading2Char"/>
    <w:autoRedefine/>
    <w:unhideWhenUsed/>
    <w:qFormat/>
    <w:rsid w:val="00DD1872"/>
    <w:pPr>
      <w:keepNext/>
      <w:keepLines/>
      <w:numPr>
        <w:ilvl w:val="1"/>
        <w:numId w:val="6"/>
      </w:numPr>
      <w:spacing w:after="0" w:line="240" w:lineRule="auto"/>
      <w:jc w:val="both"/>
      <w:outlineLvl w:val="1"/>
    </w:pPr>
    <w:rPr>
      <w:rFonts w:eastAsia="Arial" w:cs="Arial"/>
      <w:b/>
      <w:bCs/>
      <w:sz w:val="22"/>
      <w:szCs w:val="20"/>
    </w:rPr>
  </w:style>
  <w:style w:type="paragraph" w:styleId="Heading3">
    <w:name w:val="heading 3"/>
    <w:basedOn w:val="Normal"/>
    <w:next w:val="Normal"/>
    <w:link w:val="Heading3Char"/>
    <w:unhideWhenUsed/>
    <w:qFormat/>
    <w:rsid w:val="004207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50E41"/>
    <w:pPr>
      <w:keepNext/>
      <w:tabs>
        <w:tab w:val="left" w:pos="-720"/>
      </w:tabs>
      <w:suppressAutoHyphens/>
      <w:spacing w:after="0" w:line="240" w:lineRule="auto"/>
      <w:ind w:left="864" w:hanging="864"/>
      <w:jc w:val="both"/>
      <w:outlineLvl w:val="3"/>
    </w:pPr>
    <w:rPr>
      <w:rFonts w:ascii="Arial Black" w:eastAsia="Times New Roman" w:hAnsi="Arial Black" w:cs="Times New Roman"/>
      <w:spacing w:val="-3"/>
      <w:sz w:val="24"/>
      <w:szCs w:val="20"/>
      <w:lang w:eastAsia="es-ES"/>
    </w:rPr>
  </w:style>
  <w:style w:type="paragraph" w:styleId="Heading5">
    <w:name w:val="heading 5"/>
    <w:basedOn w:val="Normal"/>
    <w:next w:val="Normal"/>
    <w:link w:val="Heading5Char"/>
    <w:qFormat/>
    <w:rsid w:val="00C50E41"/>
    <w:pPr>
      <w:keepNext/>
      <w:spacing w:after="0" w:line="240" w:lineRule="auto"/>
      <w:ind w:left="1008" w:hanging="1008"/>
      <w:jc w:val="center"/>
      <w:outlineLvl w:val="4"/>
    </w:pPr>
    <w:rPr>
      <w:rFonts w:eastAsia="Times New Roman" w:cs="Times New Roman"/>
      <w:b/>
      <w:snapToGrid w:val="0"/>
      <w:color w:val="000000"/>
      <w:szCs w:val="20"/>
      <w:lang w:eastAsia="es-ES"/>
    </w:rPr>
  </w:style>
  <w:style w:type="paragraph" w:styleId="Heading6">
    <w:name w:val="heading 6"/>
    <w:basedOn w:val="Normal"/>
    <w:next w:val="Normal"/>
    <w:link w:val="Heading6Char"/>
    <w:qFormat/>
    <w:rsid w:val="00C50E41"/>
    <w:pPr>
      <w:keepNext/>
      <w:spacing w:after="0" w:line="240" w:lineRule="auto"/>
      <w:ind w:left="1152" w:hanging="1152"/>
      <w:jc w:val="center"/>
      <w:outlineLvl w:val="5"/>
    </w:pPr>
    <w:rPr>
      <w:rFonts w:ascii="Arial Black" w:eastAsia="Times New Roman" w:hAnsi="Arial Black" w:cs="Times New Roman"/>
      <w:snapToGrid w:val="0"/>
      <w:color w:val="000000"/>
      <w:sz w:val="28"/>
      <w:szCs w:val="20"/>
      <w:lang w:eastAsia="es-ES"/>
    </w:rPr>
  </w:style>
  <w:style w:type="paragraph" w:styleId="Heading7">
    <w:name w:val="heading 7"/>
    <w:basedOn w:val="Normal"/>
    <w:next w:val="Normal"/>
    <w:link w:val="Heading7Char"/>
    <w:qFormat/>
    <w:rsid w:val="00C50E41"/>
    <w:pPr>
      <w:keepNext/>
      <w:spacing w:after="0" w:line="240" w:lineRule="auto"/>
      <w:ind w:left="1296" w:hanging="1296"/>
      <w:jc w:val="center"/>
      <w:outlineLvl w:val="6"/>
    </w:pPr>
    <w:rPr>
      <w:rFonts w:eastAsia="Times New Roman" w:cs="Times New Roman"/>
      <w:b/>
      <w:sz w:val="18"/>
      <w:szCs w:val="20"/>
      <w:lang w:eastAsia="es-ES"/>
    </w:rPr>
  </w:style>
  <w:style w:type="paragraph" w:styleId="Heading8">
    <w:name w:val="heading 8"/>
    <w:basedOn w:val="Normal"/>
    <w:next w:val="Normal"/>
    <w:link w:val="Heading8Char"/>
    <w:qFormat/>
    <w:rsid w:val="00C50E41"/>
    <w:pPr>
      <w:keepNext/>
      <w:spacing w:after="0" w:line="240" w:lineRule="auto"/>
      <w:ind w:left="1440" w:hanging="1440"/>
      <w:outlineLvl w:val="7"/>
    </w:pPr>
    <w:rPr>
      <w:rFonts w:ascii="Arial Black" w:eastAsia="Times New Roman" w:hAnsi="Arial Black" w:cs="Times New Roman"/>
      <w:sz w:val="24"/>
      <w:szCs w:val="20"/>
      <w:lang w:eastAsia="es-ES"/>
    </w:rPr>
  </w:style>
  <w:style w:type="paragraph" w:styleId="Heading9">
    <w:name w:val="heading 9"/>
    <w:basedOn w:val="Normal"/>
    <w:next w:val="Normal"/>
    <w:link w:val="Heading9Char"/>
    <w:qFormat/>
    <w:rsid w:val="00C50E41"/>
    <w:pPr>
      <w:keepNext/>
      <w:spacing w:after="0" w:line="240" w:lineRule="auto"/>
      <w:ind w:left="1584" w:hanging="1584"/>
      <w:jc w:val="center"/>
      <w:outlineLvl w:val="8"/>
    </w:pPr>
    <w:rPr>
      <w:rFonts w:ascii="Arial Black" w:eastAsia="Times New Roman" w:hAnsi="Arial Black" w:cs="Times New Roman"/>
      <w:sz w:val="26"/>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851"/>
    <w:pPr>
      <w:tabs>
        <w:tab w:val="center" w:pos="4419"/>
        <w:tab w:val="right" w:pos="8838"/>
      </w:tabs>
      <w:spacing w:after="0" w:line="240" w:lineRule="auto"/>
    </w:pPr>
  </w:style>
  <w:style w:type="character" w:customStyle="1" w:styleId="HeaderChar">
    <w:name w:val="Header Char"/>
    <w:basedOn w:val="DefaultParagraphFont"/>
    <w:link w:val="Header"/>
    <w:uiPriority w:val="99"/>
    <w:rsid w:val="00D73851"/>
  </w:style>
  <w:style w:type="paragraph" w:styleId="Footer">
    <w:name w:val="footer"/>
    <w:basedOn w:val="Normal"/>
    <w:link w:val="FooterChar"/>
    <w:uiPriority w:val="99"/>
    <w:unhideWhenUsed/>
    <w:rsid w:val="00D73851"/>
    <w:pPr>
      <w:tabs>
        <w:tab w:val="center" w:pos="4419"/>
        <w:tab w:val="right" w:pos="8838"/>
      </w:tabs>
      <w:spacing w:after="0" w:line="240" w:lineRule="auto"/>
    </w:pPr>
  </w:style>
  <w:style w:type="character" w:customStyle="1" w:styleId="FooterChar">
    <w:name w:val="Footer Char"/>
    <w:basedOn w:val="DefaultParagraphFont"/>
    <w:link w:val="Footer"/>
    <w:uiPriority w:val="99"/>
    <w:rsid w:val="00D73851"/>
  </w:style>
  <w:style w:type="paragraph" w:styleId="BalloonText">
    <w:name w:val="Balloon Text"/>
    <w:basedOn w:val="Normal"/>
    <w:link w:val="BalloonTextChar"/>
    <w:uiPriority w:val="99"/>
    <w:semiHidden/>
    <w:unhideWhenUsed/>
    <w:rsid w:val="00D7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851"/>
    <w:rPr>
      <w:rFonts w:ascii="Tahoma" w:hAnsi="Tahoma" w:cs="Tahoma"/>
      <w:sz w:val="16"/>
      <w:szCs w:val="16"/>
    </w:rPr>
  </w:style>
  <w:style w:type="character" w:customStyle="1" w:styleId="Heading2Char">
    <w:name w:val="Heading 2 Char"/>
    <w:basedOn w:val="DefaultParagraphFont"/>
    <w:link w:val="Heading2"/>
    <w:rsid w:val="00DD1872"/>
    <w:rPr>
      <w:rFonts w:ascii="Arial" w:eastAsia="Arial" w:hAnsi="Arial" w:cs="Arial"/>
      <w:b/>
      <w:bCs/>
      <w:szCs w:val="20"/>
    </w:rPr>
  </w:style>
  <w:style w:type="paragraph" w:customStyle="1" w:styleId="BlockText2">
    <w:name w:val="Block Text 2"/>
    <w:basedOn w:val="BodyText"/>
    <w:qFormat/>
    <w:rsid w:val="00D73851"/>
    <w:rPr>
      <w:rFonts w:cs="Arial"/>
    </w:rPr>
  </w:style>
  <w:style w:type="paragraph" w:styleId="BodyText">
    <w:name w:val="Body Text"/>
    <w:basedOn w:val="Normal"/>
    <w:link w:val="BodyTextChar"/>
    <w:uiPriority w:val="99"/>
    <w:unhideWhenUsed/>
    <w:qFormat/>
    <w:rsid w:val="00D73851"/>
    <w:rPr>
      <w:rFonts w:eastAsiaTheme="minorEastAsia"/>
    </w:rPr>
  </w:style>
  <w:style w:type="character" w:customStyle="1" w:styleId="BodyTextChar">
    <w:name w:val="Body Text Char"/>
    <w:basedOn w:val="DefaultParagraphFont"/>
    <w:link w:val="BodyText"/>
    <w:uiPriority w:val="99"/>
    <w:rsid w:val="00D73851"/>
    <w:rPr>
      <w:rFonts w:ascii="Arial" w:eastAsiaTheme="minorEastAsia" w:hAnsi="Arial"/>
      <w:sz w:val="20"/>
      <w:lang w:val="en-US"/>
    </w:rPr>
  </w:style>
  <w:style w:type="table" w:customStyle="1" w:styleId="LightList-Accent13">
    <w:name w:val="Light List - Accent 13"/>
    <w:basedOn w:val="TableNormal"/>
    <w:uiPriority w:val="61"/>
    <w:rsid w:val="00D73851"/>
    <w:pPr>
      <w:spacing w:after="0" w:line="240" w:lineRule="auto"/>
    </w:pPr>
    <w:rPr>
      <w:rFonts w:ascii="Georgia" w:hAnsi="Georgia"/>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D738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
    <w:name w:val="Table Text"/>
    <w:basedOn w:val="Normal"/>
    <w:qFormat/>
    <w:rsid w:val="003274D2"/>
    <w:pPr>
      <w:spacing w:after="0" w:line="264" w:lineRule="auto"/>
      <w:contextualSpacing/>
    </w:pPr>
    <w:rPr>
      <w:rFonts w:eastAsia="Times New Roman" w:cs="Times New Roman"/>
      <w:sz w:val="16"/>
      <w:szCs w:val="20"/>
    </w:rPr>
  </w:style>
  <w:style w:type="paragraph" w:customStyle="1" w:styleId="ATableText">
    <w:name w:val="A_Table Text"/>
    <w:rsid w:val="003274D2"/>
    <w:pPr>
      <w:overflowPunct w:val="0"/>
      <w:autoSpaceDE w:val="0"/>
      <w:autoSpaceDN w:val="0"/>
      <w:adjustRightInd w:val="0"/>
      <w:spacing w:before="60" w:after="60" w:line="240" w:lineRule="auto"/>
      <w:textAlignment w:val="baseline"/>
    </w:pPr>
    <w:rPr>
      <w:rFonts w:ascii="Arial" w:eastAsia="Times New Roman" w:hAnsi="Arial" w:cs="Times New Roman"/>
      <w:sz w:val="20"/>
      <w:szCs w:val="20"/>
    </w:rPr>
  </w:style>
  <w:style w:type="paragraph" w:customStyle="1" w:styleId="TableHeading">
    <w:name w:val="Table Heading"/>
    <w:basedOn w:val="TableText"/>
    <w:rsid w:val="003274D2"/>
    <w:pPr>
      <w:keepLines/>
      <w:spacing w:before="120" w:after="120" w:line="240" w:lineRule="auto"/>
      <w:contextualSpacing w:val="0"/>
      <w:jc w:val="center"/>
    </w:pPr>
    <w:rPr>
      <w:rFonts w:ascii="Book Antiqua" w:hAnsi="Book Antiqua"/>
      <w:b/>
      <w:sz w:val="18"/>
      <w:lang w:eastAsia="es-ES"/>
    </w:rPr>
  </w:style>
  <w:style w:type="table" w:styleId="TableGrid">
    <w:name w:val="Table Grid"/>
    <w:basedOn w:val="TableNormal"/>
    <w:uiPriority w:val="59"/>
    <w:rsid w:val="00DA1FE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207B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0F7AB7"/>
    <w:rPr>
      <w:rFonts w:ascii="Arial" w:eastAsia="Arial" w:hAnsi="Arial" w:cs="Arial"/>
      <w:b/>
      <w:bCs/>
    </w:rPr>
  </w:style>
  <w:style w:type="character" w:customStyle="1" w:styleId="Heading4Char">
    <w:name w:val="Heading 4 Char"/>
    <w:basedOn w:val="DefaultParagraphFont"/>
    <w:link w:val="Heading4"/>
    <w:rsid w:val="00C50E41"/>
    <w:rPr>
      <w:rFonts w:ascii="Arial Black" w:eastAsia="Times New Roman" w:hAnsi="Arial Black" w:cs="Times New Roman"/>
      <w:spacing w:val="-3"/>
      <w:sz w:val="24"/>
      <w:szCs w:val="20"/>
      <w:lang w:val="en-US" w:eastAsia="es-ES"/>
    </w:rPr>
  </w:style>
  <w:style w:type="character" w:customStyle="1" w:styleId="Heading5Char">
    <w:name w:val="Heading 5 Char"/>
    <w:basedOn w:val="DefaultParagraphFont"/>
    <w:link w:val="Heading5"/>
    <w:rsid w:val="00C50E41"/>
    <w:rPr>
      <w:rFonts w:ascii="Arial" w:eastAsia="Times New Roman" w:hAnsi="Arial" w:cs="Times New Roman"/>
      <w:b/>
      <w:snapToGrid w:val="0"/>
      <w:color w:val="000000"/>
      <w:sz w:val="20"/>
      <w:szCs w:val="20"/>
      <w:lang w:val="en-US" w:eastAsia="es-ES"/>
    </w:rPr>
  </w:style>
  <w:style w:type="character" w:customStyle="1" w:styleId="Heading6Char">
    <w:name w:val="Heading 6 Char"/>
    <w:basedOn w:val="DefaultParagraphFont"/>
    <w:link w:val="Heading6"/>
    <w:rsid w:val="00C50E41"/>
    <w:rPr>
      <w:rFonts w:ascii="Arial Black" w:eastAsia="Times New Roman" w:hAnsi="Arial Black" w:cs="Times New Roman"/>
      <w:snapToGrid w:val="0"/>
      <w:color w:val="000000"/>
      <w:sz w:val="28"/>
      <w:szCs w:val="20"/>
      <w:lang w:val="en-US" w:eastAsia="es-ES"/>
    </w:rPr>
  </w:style>
  <w:style w:type="character" w:customStyle="1" w:styleId="Heading7Char">
    <w:name w:val="Heading 7 Char"/>
    <w:basedOn w:val="DefaultParagraphFont"/>
    <w:link w:val="Heading7"/>
    <w:rsid w:val="00C50E41"/>
    <w:rPr>
      <w:rFonts w:ascii="Arial" w:eastAsia="Times New Roman" w:hAnsi="Arial" w:cs="Times New Roman"/>
      <w:b/>
      <w:sz w:val="18"/>
      <w:szCs w:val="20"/>
      <w:lang w:val="en-US" w:eastAsia="es-ES"/>
    </w:rPr>
  </w:style>
  <w:style w:type="character" w:customStyle="1" w:styleId="Heading8Char">
    <w:name w:val="Heading 8 Char"/>
    <w:basedOn w:val="DefaultParagraphFont"/>
    <w:link w:val="Heading8"/>
    <w:rsid w:val="00C50E41"/>
    <w:rPr>
      <w:rFonts w:ascii="Arial Black" w:eastAsia="Times New Roman" w:hAnsi="Arial Black" w:cs="Times New Roman"/>
      <w:sz w:val="24"/>
      <w:szCs w:val="20"/>
      <w:lang w:val="en-US" w:eastAsia="es-ES"/>
    </w:rPr>
  </w:style>
  <w:style w:type="character" w:customStyle="1" w:styleId="Heading9Char">
    <w:name w:val="Heading 9 Char"/>
    <w:basedOn w:val="DefaultParagraphFont"/>
    <w:link w:val="Heading9"/>
    <w:rsid w:val="00C50E41"/>
    <w:rPr>
      <w:rFonts w:ascii="Arial Black" w:eastAsia="Times New Roman" w:hAnsi="Arial Black" w:cs="Times New Roman"/>
      <w:sz w:val="26"/>
      <w:szCs w:val="20"/>
      <w:lang w:val="en-US" w:eastAsia="es-ES"/>
    </w:rPr>
  </w:style>
  <w:style w:type="paragraph" w:customStyle="1" w:styleId="Estilo1">
    <w:name w:val="Estilo1"/>
    <w:basedOn w:val="Normal"/>
    <w:link w:val="Estilo1Car"/>
    <w:qFormat/>
    <w:rsid w:val="00654EC2"/>
    <w:pPr>
      <w:spacing w:after="0" w:line="240" w:lineRule="auto"/>
    </w:pPr>
    <w:rPr>
      <w:b/>
      <w:bCs/>
      <w:color w:val="0070C0"/>
      <w:sz w:val="32"/>
      <w:szCs w:val="36"/>
    </w:rPr>
  </w:style>
  <w:style w:type="paragraph" w:customStyle="1" w:styleId="Estilo2">
    <w:name w:val="Estilo2"/>
    <w:basedOn w:val="Heading3"/>
    <w:link w:val="Estilo2Car"/>
    <w:qFormat/>
    <w:rsid w:val="00A54A85"/>
    <w:pPr>
      <w:numPr>
        <w:ilvl w:val="2"/>
        <w:numId w:val="6"/>
      </w:numPr>
      <w:spacing w:before="0" w:line="240" w:lineRule="auto"/>
    </w:pPr>
    <w:rPr>
      <w:rFonts w:ascii="Arial" w:eastAsia="Arial" w:hAnsi="Arial" w:cs="Arial"/>
      <w:color w:val="auto"/>
      <w:sz w:val="22"/>
      <w:szCs w:val="24"/>
    </w:rPr>
  </w:style>
  <w:style w:type="character" w:customStyle="1" w:styleId="Estilo1Car">
    <w:name w:val="Estilo1 Car"/>
    <w:basedOn w:val="DefaultParagraphFont"/>
    <w:link w:val="Estilo1"/>
    <w:rsid w:val="00654EC2"/>
    <w:rPr>
      <w:rFonts w:ascii="Arial" w:hAnsi="Arial"/>
      <w:b/>
      <w:bCs/>
      <w:color w:val="0070C0"/>
      <w:sz w:val="32"/>
      <w:szCs w:val="36"/>
    </w:rPr>
  </w:style>
  <w:style w:type="paragraph" w:styleId="ListParagraph">
    <w:name w:val="List Paragraph"/>
    <w:basedOn w:val="Normal"/>
    <w:uiPriority w:val="34"/>
    <w:qFormat/>
    <w:rsid w:val="000604E6"/>
    <w:pPr>
      <w:ind w:left="720"/>
      <w:contextualSpacing/>
    </w:pPr>
  </w:style>
  <w:style w:type="character" w:customStyle="1" w:styleId="Estilo2Car">
    <w:name w:val="Estilo2 Car"/>
    <w:basedOn w:val="Heading3Char"/>
    <w:link w:val="Estilo2"/>
    <w:rsid w:val="00A54A85"/>
    <w:rPr>
      <w:rFonts w:ascii="Arial" w:eastAsia="Arial" w:hAnsi="Arial" w:cs="Arial"/>
      <w:b/>
      <w:bCs/>
      <w:color w:val="4F81BD" w:themeColor="accent1"/>
      <w:szCs w:val="24"/>
    </w:rPr>
  </w:style>
  <w:style w:type="paragraph" w:styleId="Caption">
    <w:name w:val="caption"/>
    <w:basedOn w:val="Normal"/>
    <w:next w:val="Normal"/>
    <w:link w:val="CaptionChar"/>
    <w:uiPriority w:val="35"/>
    <w:unhideWhenUsed/>
    <w:qFormat/>
    <w:rsid w:val="00A53219"/>
    <w:pPr>
      <w:spacing w:line="240" w:lineRule="auto"/>
    </w:pPr>
    <w:rPr>
      <w:i/>
      <w:iCs/>
      <w:color w:val="1F497D" w:themeColor="text2"/>
      <w:sz w:val="18"/>
      <w:szCs w:val="18"/>
    </w:rPr>
  </w:style>
  <w:style w:type="paragraph" w:customStyle="1" w:styleId="Estilo3">
    <w:name w:val="Estilo3"/>
    <w:basedOn w:val="Caption"/>
    <w:link w:val="Estilo3Car"/>
    <w:qFormat/>
    <w:rsid w:val="00D9201D"/>
    <w:pPr>
      <w:spacing w:after="0"/>
      <w:jc w:val="center"/>
    </w:pPr>
    <w:rPr>
      <w:color w:val="auto"/>
    </w:rPr>
  </w:style>
  <w:style w:type="character" w:customStyle="1" w:styleId="CaptionChar">
    <w:name w:val="Caption Char"/>
    <w:basedOn w:val="DefaultParagraphFont"/>
    <w:link w:val="Caption"/>
    <w:uiPriority w:val="35"/>
    <w:rsid w:val="00D9201D"/>
    <w:rPr>
      <w:rFonts w:ascii="Arial" w:hAnsi="Arial"/>
      <w:i/>
      <w:iCs/>
      <w:color w:val="1F497D" w:themeColor="text2"/>
      <w:sz w:val="18"/>
      <w:szCs w:val="18"/>
    </w:rPr>
  </w:style>
  <w:style w:type="character" w:customStyle="1" w:styleId="Estilo3Car">
    <w:name w:val="Estilo3 Car"/>
    <w:basedOn w:val="CaptionChar"/>
    <w:link w:val="Estilo3"/>
    <w:rsid w:val="00D9201D"/>
    <w:rPr>
      <w:rFonts w:ascii="Arial" w:hAnsi="Arial"/>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663946EC471143AD8A9496583C0976" ma:contentTypeVersion="19" ma:contentTypeDescription="Crear nuevo documento." ma:contentTypeScope="" ma:versionID="962cd3a91d7039376fdd475398714013">
  <xsd:schema xmlns:xsd="http://www.w3.org/2001/XMLSchema" xmlns:xs="http://www.w3.org/2001/XMLSchema" xmlns:p="http://schemas.microsoft.com/office/2006/metadata/properties" xmlns:ns1="http://schemas.microsoft.com/sharepoint/v3" xmlns:ns2="40dfa13e-ee34-4645-8b07-e64b6d3ea7ee" xmlns:ns3="72d89211-a70f-4c8d-bb29-59bd284bd3d6" targetNamespace="http://schemas.microsoft.com/office/2006/metadata/properties" ma:root="true" ma:fieldsID="f873687edfb559a282137ef677ad2e7b" ns1:_="" ns2:_="" ns3:_="">
    <xsd:import namespace="http://schemas.microsoft.com/sharepoint/v3"/>
    <xsd:import namespace="40dfa13e-ee34-4645-8b07-e64b6d3ea7ee"/>
    <xsd:import namespace="72d89211-a70f-4c8d-bb29-59bd284bd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fech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fa13e-ee34-4645-8b07-e64b6d3ea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fecha" ma:index="23" nillable="true" ma:displayName="fecha" ma:format="DateOnly" ma:internalName="fecha">
      <xsd:simpleType>
        <xsd:restriction base="dms:DateTime"/>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e276baee-6eaf-48e2-a172-1d07315ac7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89211-a70f-4c8d-bb29-59bd284bd3d6"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50c03d6a-8c5a-44c9-bdfa-9a2f5cae1664}" ma:internalName="TaxCatchAll" ma:showField="CatchAllData" ma:web="72d89211-a70f-4c8d-bb29-59bd284bd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13959-DE0A-4BEB-BD4C-FB6D5EF58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dfa13e-ee34-4645-8b07-e64b6d3ea7ee"/>
    <ds:schemaRef ds:uri="72d89211-a70f-4c8d-bb29-59bd284bd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26063-5120-482E-BDFC-A68E1DF1C37C}">
  <ds:schemaRefs>
    <ds:schemaRef ds:uri="http://schemas.openxmlformats.org/officeDocument/2006/bibliography"/>
  </ds:schemaRefs>
</ds:datastoreItem>
</file>

<file path=customXml/itemProps3.xml><?xml version="1.0" encoding="utf-8"?>
<ds:datastoreItem xmlns:ds="http://schemas.openxmlformats.org/officeDocument/2006/customXml" ds:itemID="{CD0C2E91-6EE8-406D-AD22-40BF43E10086}">
  <ds:schemaRefs>
    <ds:schemaRef ds:uri="http://schemas.microsoft.com/sharepoint/v3/contenttype/forms"/>
  </ds:schemaRefs>
</ds:datastoreItem>
</file>

<file path=docMetadata/LabelInfo.xml><?xml version="1.0" encoding="utf-8"?>
<clbl:labelList xmlns:clbl="http://schemas.microsoft.com/office/2020/mipLabelMetadata">
  <clbl:label id="{f56440b0-bb43-4d81-a621-bc28eeeaa1f1}" enabled="1" method="Privileged" siteId="{d49de431-8ec2-4627-95dc-a1b041bbab30}" contentBits="0" removed="0"/>
</clbl:labelList>
</file>

<file path=docProps/app.xml><?xml version="1.0" encoding="utf-8"?>
<Properties xmlns="http://schemas.openxmlformats.org/officeDocument/2006/extended-properties" xmlns:vt="http://schemas.openxmlformats.org/officeDocument/2006/docPropsVTypes">
  <Template>Normal.dotm</Template>
  <TotalTime>273</TotalTime>
  <Pages>8</Pages>
  <Words>2400</Words>
  <Characters>13202</Characters>
  <Application>Microsoft Office Word</Application>
  <DocSecurity>0</DocSecurity>
  <Lines>110</Lines>
  <Paragraphs>31</Paragraphs>
  <ScaleCrop>false</ScaleCrop>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Fernanda Calderon Herrera</dc:creator>
  <cp:lastModifiedBy>Sebastián Rodríguez-PT</cp:lastModifiedBy>
  <cp:revision>65</cp:revision>
  <dcterms:created xsi:type="dcterms:W3CDTF">2018-12-06T20:10:00Z</dcterms:created>
  <dcterms:modified xsi:type="dcterms:W3CDTF">2023-04-11T21:36:00Z</dcterms:modified>
</cp:coreProperties>
</file>